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E51FC" w:rsidR="00D5547E" w:rsidP="28875D28" w:rsidRDefault="00303562" w14:paraId="3F56C81A" w14:textId="3580C41A">
      <w:pPr>
        <w:rPr>
          <w:rFonts w:eastAsia="Calibri" w:cs="Arial"/>
          <w:b w:val="1"/>
          <w:bCs w:val="1"/>
          <w:highlight w:val="yellow"/>
        </w:rPr>
      </w:pPr>
    </w:p>
    <w:tbl>
      <w:tblPr>
        <w:tblW w:w="0" w:type="auto"/>
        <w:tblInd w:w="108" w:type="dxa"/>
        <w:tblLayout w:type="fixed"/>
        <w:tblLook w:val="04A0" w:firstRow="1" w:lastRow="0" w:firstColumn="1" w:lastColumn="0" w:noHBand="0" w:noVBand="1"/>
      </w:tblPr>
      <w:tblGrid>
        <w:gridCol w:w="2438"/>
        <w:gridCol w:w="6406"/>
      </w:tblGrid>
      <w:tr w:rsidRPr="00975B07" w:rsidR="00CE544A" w:rsidTr="197BAE22" w14:paraId="0011F4F9" w14:textId="77777777">
        <w:tc>
          <w:tcPr>
            <w:tcW w:w="2438" w:type="dxa"/>
          </w:tcPr>
          <w:p w:rsidRPr="00975B07" w:rsidR="00F445B1" w:rsidP="004A6D2F" w:rsidRDefault="00F445B1" w14:paraId="7F4771FF" w14:textId="77777777">
            <w:pPr>
              <w:rPr>
                <w:rStyle w:val="Firstpagetablebold"/>
              </w:rPr>
            </w:pPr>
            <w:r w:rsidRPr="00975B07">
              <w:rPr>
                <w:rStyle w:val="Firstpagetablebold"/>
              </w:rPr>
              <w:t>To</w:t>
            </w:r>
            <w:r w:rsidRPr="00975B07" w:rsidR="005C35A5">
              <w:rPr>
                <w:rStyle w:val="Firstpagetablebold"/>
              </w:rPr>
              <w:t>:</w:t>
            </w:r>
          </w:p>
        </w:tc>
        <w:tc>
          <w:tcPr>
            <w:tcW w:w="6406" w:type="dxa"/>
          </w:tcPr>
          <w:p w:rsidR="000A47AE" w:rsidP="000A47AE" w:rsidRDefault="00632588" w14:paraId="72ED3AB2" w14:textId="77777777">
            <w:pPr>
              <w:rPr>
                <w:rStyle w:val="Firstpagetablebold"/>
              </w:rPr>
            </w:pPr>
            <w:r>
              <w:rPr>
                <w:rStyle w:val="Firstpagetablebold"/>
              </w:rPr>
              <w:t>Cabinet</w:t>
            </w:r>
          </w:p>
          <w:p w:rsidRPr="00F95BC9" w:rsidR="00F445B1" w:rsidP="000A47AE" w:rsidRDefault="00F445B1" w14:paraId="11F1B0A2" w14:textId="77777777">
            <w:pPr>
              <w:rPr>
                <w:rStyle w:val="Firstpagetablebold"/>
              </w:rPr>
            </w:pPr>
          </w:p>
        </w:tc>
      </w:tr>
      <w:tr w:rsidRPr="00975B07" w:rsidR="00CE544A" w:rsidTr="197BAE22" w14:paraId="67FF0822" w14:textId="77777777">
        <w:tc>
          <w:tcPr>
            <w:tcW w:w="2438" w:type="dxa"/>
          </w:tcPr>
          <w:p w:rsidRPr="00975B07" w:rsidR="00F445B1" w:rsidP="004A6D2F" w:rsidRDefault="00F445B1" w14:paraId="4BEF97D3" w14:textId="77777777">
            <w:pPr>
              <w:rPr>
                <w:rStyle w:val="Firstpagetablebold"/>
              </w:rPr>
            </w:pPr>
            <w:r w:rsidRPr="00975B07">
              <w:rPr>
                <w:rStyle w:val="Firstpagetablebold"/>
              </w:rPr>
              <w:t>Dat</w:t>
            </w:r>
            <w:r w:rsidRPr="00975B07" w:rsidR="005C35A5">
              <w:rPr>
                <w:rStyle w:val="Firstpagetablebold"/>
              </w:rPr>
              <w:t>e:</w:t>
            </w:r>
          </w:p>
        </w:tc>
        <w:tc>
          <w:tcPr>
            <w:tcW w:w="6406" w:type="dxa"/>
          </w:tcPr>
          <w:p w:rsidR="000A47AE" w:rsidP="000A47AE" w:rsidRDefault="009A076A" w14:paraId="41A0494D" w14:textId="6836AF9E">
            <w:pPr>
              <w:rPr>
                <w:rStyle w:val="Firstpagetablebold"/>
              </w:rPr>
            </w:pPr>
            <w:r>
              <w:rPr>
                <w:rStyle w:val="Firstpagetablebold"/>
              </w:rPr>
              <w:t>10 December</w:t>
            </w:r>
            <w:r w:rsidR="00240FF5">
              <w:rPr>
                <w:rStyle w:val="Firstpagetablebold"/>
              </w:rPr>
              <w:t xml:space="preserve"> </w:t>
            </w:r>
            <w:r w:rsidRPr="00A17168" w:rsidR="00534A13">
              <w:rPr>
                <w:rStyle w:val="Firstpagetablebold"/>
              </w:rPr>
              <w:t>202</w:t>
            </w:r>
            <w:r w:rsidR="001D22E9">
              <w:rPr>
                <w:rStyle w:val="Firstpagetablebold"/>
              </w:rPr>
              <w:t>5</w:t>
            </w:r>
            <w:r w:rsidR="005C69A8">
              <w:rPr>
                <w:rStyle w:val="Firstpagetablebold"/>
              </w:rPr>
              <w:t xml:space="preserve"> </w:t>
            </w:r>
          </w:p>
          <w:p w:rsidRPr="001356F1" w:rsidR="00F445B1" w:rsidP="000A47AE" w:rsidRDefault="00F445B1" w14:paraId="3D28F9AC" w14:textId="77777777">
            <w:pPr>
              <w:rPr>
                <w:b/>
              </w:rPr>
            </w:pPr>
          </w:p>
        </w:tc>
      </w:tr>
      <w:tr w:rsidRPr="00975B07" w:rsidR="00CE544A" w:rsidTr="197BAE22" w14:paraId="36750B84" w14:textId="77777777">
        <w:tc>
          <w:tcPr>
            <w:tcW w:w="2438" w:type="dxa"/>
          </w:tcPr>
          <w:p w:rsidRPr="00975B07" w:rsidR="00F445B1" w:rsidP="004A6D2F" w:rsidRDefault="00F445B1" w14:paraId="3DE7F996" w14:textId="77777777">
            <w:pPr>
              <w:rPr>
                <w:rStyle w:val="Firstpagetablebold"/>
              </w:rPr>
            </w:pPr>
            <w:r w:rsidRPr="00975B07">
              <w:rPr>
                <w:rStyle w:val="Firstpagetablebold"/>
              </w:rPr>
              <w:t>Report of</w:t>
            </w:r>
            <w:r w:rsidRPr="00975B07" w:rsidR="005C35A5">
              <w:rPr>
                <w:rStyle w:val="Firstpagetablebold"/>
              </w:rPr>
              <w:t>:</w:t>
            </w:r>
          </w:p>
        </w:tc>
        <w:tc>
          <w:tcPr>
            <w:tcW w:w="6406" w:type="dxa"/>
          </w:tcPr>
          <w:p w:rsidRPr="008015E8" w:rsidR="008015E8" w:rsidP="008015E8" w:rsidRDefault="008015E8" w14:paraId="0C10FF03" w14:textId="77777777">
            <w:pPr>
              <w:spacing w:after="0"/>
              <w:rPr>
                <w:rStyle w:val="Firstpagetablebold"/>
              </w:rPr>
            </w:pPr>
            <w:r w:rsidRPr="008015E8">
              <w:rPr>
                <w:rStyle w:val="Firstpagetablebold"/>
              </w:rPr>
              <w:t>Group Finance Director (Section 151 Officer)</w:t>
            </w:r>
          </w:p>
          <w:p w:rsidRPr="001356F1" w:rsidR="00177372" w:rsidP="00B85B99" w:rsidRDefault="00177372" w14:paraId="59C35A88" w14:textId="659CE8E5">
            <w:pPr>
              <w:rPr>
                <w:rStyle w:val="Firstpagetablebold"/>
              </w:rPr>
            </w:pPr>
          </w:p>
        </w:tc>
      </w:tr>
      <w:tr w:rsidRPr="00975B07" w:rsidR="00CE544A" w:rsidTr="197BAE22" w14:paraId="732AA7BF" w14:textId="77777777">
        <w:tc>
          <w:tcPr>
            <w:tcW w:w="2438" w:type="dxa"/>
          </w:tcPr>
          <w:p w:rsidRPr="00975B07" w:rsidR="00F445B1" w:rsidP="004A6D2F" w:rsidRDefault="00F445B1" w14:paraId="4347A750" w14:textId="77777777">
            <w:pPr>
              <w:rPr>
                <w:rStyle w:val="Firstpagetablebold"/>
              </w:rPr>
            </w:pPr>
            <w:r w:rsidRPr="00975B07">
              <w:rPr>
                <w:rStyle w:val="Firstpagetablebold"/>
              </w:rPr>
              <w:t xml:space="preserve">Title of Report: </w:t>
            </w:r>
          </w:p>
        </w:tc>
        <w:tc>
          <w:tcPr>
            <w:tcW w:w="6406" w:type="dxa"/>
          </w:tcPr>
          <w:p w:rsidRPr="001356F1" w:rsidR="00F445B1" w:rsidP="006633F1" w:rsidRDefault="00177372" w14:paraId="2EEA722B" w14:textId="289B2FE9">
            <w:pPr>
              <w:rPr>
                <w:rStyle w:val="Firstpagetablebold"/>
              </w:rPr>
            </w:pPr>
            <w:r>
              <w:rPr>
                <w:rStyle w:val="Firstpagetablebold"/>
              </w:rPr>
              <w:t xml:space="preserve">Integrated </w:t>
            </w:r>
            <w:r w:rsidR="004E27A6">
              <w:rPr>
                <w:rStyle w:val="Firstpagetablebold"/>
              </w:rPr>
              <w:t>Performance Report for Q</w:t>
            </w:r>
            <w:r w:rsidR="003F50F9">
              <w:rPr>
                <w:rStyle w:val="Firstpagetablebold"/>
              </w:rPr>
              <w:t xml:space="preserve">uarter </w:t>
            </w:r>
            <w:r w:rsidR="009A076A">
              <w:rPr>
                <w:rStyle w:val="Firstpagetablebold"/>
              </w:rPr>
              <w:t>2</w:t>
            </w:r>
            <w:r w:rsidR="00C00652">
              <w:rPr>
                <w:rStyle w:val="Firstpagetablebold"/>
              </w:rPr>
              <w:t xml:space="preserve"> 20</w:t>
            </w:r>
            <w:r w:rsidR="00632588">
              <w:rPr>
                <w:rStyle w:val="Firstpagetablebold"/>
              </w:rPr>
              <w:t>2</w:t>
            </w:r>
            <w:r w:rsidR="00CE2954">
              <w:rPr>
                <w:rStyle w:val="Firstpagetablebold"/>
              </w:rPr>
              <w:t>5</w:t>
            </w:r>
            <w:r w:rsidR="00871859">
              <w:rPr>
                <w:rStyle w:val="Firstpagetablebold"/>
              </w:rPr>
              <w:t>/2</w:t>
            </w:r>
            <w:r w:rsidR="00CE2954">
              <w:rPr>
                <w:rStyle w:val="Firstpagetablebold"/>
              </w:rPr>
              <w:t>6</w:t>
            </w:r>
          </w:p>
        </w:tc>
      </w:tr>
    </w:tbl>
    <w:p w:rsidR="004F20EF" w:rsidP="28875D28" w:rsidRDefault="00D75C50" w14:paraId="46723935" w14:noSpellErr="1" w14:textId="554E8CEF">
      <w:pPr>
        <w:rPr>
          <w:highlight w:val="yellow"/>
        </w:rPr>
      </w:pPr>
    </w:p>
    <w:tbl>
      <w:tblPr>
        <w:tblW w:w="938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3001"/>
        <w:gridCol w:w="6379"/>
      </w:tblGrid>
      <w:tr w:rsidR="00D5547E" w:rsidTr="008015E8" w14:paraId="307E81AC" w14:textId="77777777">
        <w:trPr>
          <w:trHeight w:val="300"/>
        </w:trPr>
        <w:tc>
          <w:tcPr>
            <w:tcW w:w="9380" w:type="dxa"/>
            <w:gridSpan w:val="2"/>
            <w:tcBorders>
              <w:bottom w:val="single" w:color="auto" w:sz="4" w:space="0"/>
            </w:tcBorders>
            <w:hideMark/>
          </w:tcPr>
          <w:p w:rsidR="00D5547E" w:rsidP="746D2C75" w:rsidRDefault="00745BF0" w14:paraId="2709729C" w14:textId="77777777">
            <w:pPr>
              <w:spacing w:before="60" w:after="60"/>
              <w:jc w:val="center"/>
              <w:rPr>
                <w:rStyle w:val="Firstpagetablebold"/>
              </w:rPr>
            </w:pPr>
            <w:r>
              <w:rPr>
                <w:rStyle w:val="Firstpagetablebold"/>
              </w:rPr>
              <w:t>Summary and r</w:t>
            </w:r>
            <w:r w:rsidR="00D5547E">
              <w:rPr>
                <w:rStyle w:val="Firstpagetablebold"/>
              </w:rPr>
              <w:t>ecommendations</w:t>
            </w:r>
          </w:p>
        </w:tc>
      </w:tr>
      <w:tr w:rsidR="00D5547E" w:rsidTr="00C71E47" w14:paraId="77881BDF" w14:textId="77777777">
        <w:trPr>
          <w:trHeight w:val="300"/>
        </w:trPr>
        <w:tc>
          <w:tcPr>
            <w:tcW w:w="3001" w:type="dxa"/>
            <w:tcBorders>
              <w:top w:val="single" w:color="auto" w:sz="4" w:space="0"/>
              <w:left w:val="single" w:color="auto" w:sz="4" w:space="0"/>
              <w:bottom w:val="nil"/>
              <w:right w:val="nil"/>
            </w:tcBorders>
            <w:hideMark/>
          </w:tcPr>
          <w:p w:rsidR="00D5547E" w:rsidP="746D2C75" w:rsidRDefault="00303562" w14:paraId="00416367" w14:textId="205221CA">
            <w:pPr>
              <w:spacing w:before="60" w:after="60"/>
              <w:rPr>
                <w:rStyle w:val="Firstpagetablebold"/>
              </w:rPr>
            </w:pPr>
            <w:r>
              <w:rPr>
                <w:rStyle w:val="Firstpagetablebold"/>
              </w:rPr>
              <w:t>Decision being taken:</w:t>
            </w:r>
          </w:p>
        </w:tc>
        <w:tc>
          <w:tcPr>
            <w:tcW w:w="6379" w:type="dxa"/>
            <w:tcBorders>
              <w:top w:val="single" w:color="auto" w:sz="4" w:space="0"/>
              <w:left w:val="nil"/>
              <w:bottom w:val="nil"/>
              <w:right w:val="single" w:color="auto" w:sz="4" w:space="0"/>
            </w:tcBorders>
            <w:hideMark/>
          </w:tcPr>
          <w:p w:rsidRPr="001356F1" w:rsidR="00D5547E" w:rsidP="746D2C75" w:rsidRDefault="00A91B9B" w14:paraId="678F1792" w14:textId="3B0F248A">
            <w:pPr>
              <w:spacing w:before="60" w:after="60"/>
            </w:pPr>
            <w:r>
              <w:t xml:space="preserve">To </w:t>
            </w:r>
            <w:r w:rsidR="00303562">
              <w:t xml:space="preserve">note the </w:t>
            </w:r>
            <w:r>
              <w:t xml:space="preserve">update </w:t>
            </w:r>
            <w:r w:rsidR="00303562">
              <w:t xml:space="preserve">to </w:t>
            </w:r>
            <w:r w:rsidR="00BB420C">
              <w:t xml:space="preserve">the </w:t>
            </w:r>
            <w:r w:rsidR="00CF795B">
              <w:t>Cabinet</w:t>
            </w:r>
            <w:r>
              <w:t xml:space="preserve"> </w:t>
            </w:r>
            <w:r w:rsidRPr="005B020D">
              <w:rPr>
                <w:color w:val="auto"/>
              </w:rPr>
              <w:t xml:space="preserve">on Finance, Risk and </w:t>
            </w:r>
            <w:r w:rsidRPr="005B020D" w:rsidR="00CF795B">
              <w:rPr>
                <w:color w:val="auto"/>
              </w:rPr>
              <w:t xml:space="preserve">Corporate </w:t>
            </w:r>
            <w:r w:rsidRPr="005B020D">
              <w:rPr>
                <w:color w:val="auto"/>
              </w:rPr>
              <w:t>Performance</w:t>
            </w:r>
            <w:r w:rsidRPr="005B020D" w:rsidR="00CF795B">
              <w:rPr>
                <w:color w:val="auto"/>
              </w:rPr>
              <w:t xml:space="preserve"> matters</w:t>
            </w:r>
            <w:r w:rsidRPr="005B020D">
              <w:rPr>
                <w:color w:val="auto"/>
              </w:rPr>
              <w:t xml:space="preserve"> </w:t>
            </w:r>
            <w:proofErr w:type="gramStart"/>
            <w:r>
              <w:t>at</w:t>
            </w:r>
            <w:proofErr w:type="gramEnd"/>
            <w:r>
              <w:t xml:space="preserve"> </w:t>
            </w:r>
            <w:r w:rsidRPr="00A17168" w:rsidR="00534A13">
              <w:t>3</w:t>
            </w:r>
            <w:r w:rsidR="00CE2954">
              <w:t>0</w:t>
            </w:r>
            <w:r w:rsidRPr="00CE2954" w:rsidR="00CE2954">
              <w:rPr>
                <w:vertAlign w:val="superscript"/>
              </w:rPr>
              <w:t>th</w:t>
            </w:r>
            <w:r w:rsidR="00CE2954">
              <w:t xml:space="preserve"> </w:t>
            </w:r>
            <w:r w:rsidR="009A076A">
              <w:t>September</w:t>
            </w:r>
            <w:r w:rsidR="00142A87">
              <w:t xml:space="preserve"> 202</w:t>
            </w:r>
            <w:r w:rsidR="00287B05">
              <w:t>5</w:t>
            </w:r>
          </w:p>
        </w:tc>
      </w:tr>
      <w:tr w:rsidR="00D5547E" w:rsidTr="00C71E47" w14:paraId="4E0EABF7" w14:textId="77777777">
        <w:trPr>
          <w:trHeight w:val="300"/>
        </w:trPr>
        <w:tc>
          <w:tcPr>
            <w:tcW w:w="3001" w:type="dxa"/>
            <w:tcBorders>
              <w:top w:val="nil"/>
              <w:left w:val="single" w:color="auto" w:sz="4" w:space="0"/>
              <w:bottom w:val="nil"/>
              <w:right w:val="nil"/>
            </w:tcBorders>
            <w:hideMark/>
          </w:tcPr>
          <w:p w:rsidR="00D5547E" w:rsidP="746D2C75" w:rsidRDefault="00D5547E" w14:paraId="3BA22E73" w14:textId="77777777">
            <w:pPr>
              <w:spacing w:before="60" w:after="60"/>
              <w:rPr>
                <w:rStyle w:val="Firstpagetablebold"/>
              </w:rPr>
            </w:pPr>
            <w:r>
              <w:rPr>
                <w:rStyle w:val="Firstpagetablebold"/>
              </w:rPr>
              <w:t>Key decision:</w:t>
            </w:r>
          </w:p>
        </w:tc>
        <w:tc>
          <w:tcPr>
            <w:tcW w:w="6379" w:type="dxa"/>
            <w:tcBorders>
              <w:top w:val="nil"/>
              <w:left w:val="nil"/>
              <w:bottom w:val="nil"/>
              <w:right w:val="single" w:color="auto" w:sz="4" w:space="0"/>
            </w:tcBorders>
            <w:hideMark/>
          </w:tcPr>
          <w:p w:rsidRPr="001356F1" w:rsidR="00D5547E" w:rsidP="746D2C75" w:rsidRDefault="00177372" w14:paraId="57DCD61B" w14:textId="77777777">
            <w:pPr>
              <w:spacing w:before="60" w:after="60"/>
            </w:pPr>
            <w:r>
              <w:t>No</w:t>
            </w:r>
          </w:p>
        </w:tc>
      </w:tr>
      <w:tr w:rsidR="00D5547E" w:rsidTr="00C71E47" w14:paraId="6438E459" w14:textId="77777777">
        <w:trPr>
          <w:trHeight w:val="300"/>
        </w:trPr>
        <w:tc>
          <w:tcPr>
            <w:tcW w:w="3001" w:type="dxa"/>
            <w:tcBorders>
              <w:top w:val="nil"/>
              <w:left w:val="single" w:color="auto" w:sz="4" w:space="0"/>
              <w:bottom w:val="nil"/>
              <w:right w:val="nil"/>
            </w:tcBorders>
            <w:hideMark/>
          </w:tcPr>
          <w:p w:rsidR="00D5547E" w:rsidP="746D2C75" w:rsidRDefault="00303562" w14:paraId="23E7FAA0" w14:textId="7F9C33FB">
            <w:pPr>
              <w:spacing w:before="60" w:after="60"/>
              <w:rPr>
                <w:rStyle w:val="Firstpagetablebold"/>
              </w:rPr>
            </w:pPr>
            <w:r>
              <w:rPr>
                <w:rStyle w:val="Firstpagetablebold"/>
              </w:rPr>
              <w:t>Cabinet Member</w:t>
            </w:r>
            <w:r w:rsidR="00D5547E">
              <w:rPr>
                <w:rStyle w:val="Firstpagetablebold"/>
              </w:rPr>
              <w:t>:</w:t>
            </w:r>
          </w:p>
        </w:tc>
        <w:tc>
          <w:tcPr>
            <w:tcW w:w="6379" w:type="dxa"/>
            <w:tcBorders>
              <w:top w:val="nil"/>
              <w:left w:val="nil"/>
              <w:bottom w:val="nil"/>
              <w:right w:val="single" w:color="auto" w:sz="4" w:space="0"/>
            </w:tcBorders>
            <w:hideMark/>
          </w:tcPr>
          <w:p w:rsidRPr="001356F1" w:rsidR="00D5547E" w:rsidP="746D2C75" w:rsidRDefault="5C275BC1" w14:paraId="15868214" w14:textId="247A8852">
            <w:pPr>
              <w:spacing w:before="60" w:after="60"/>
            </w:pPr>
            <w:r>
              <w:t>Cabinet Member for Finance and Assets</w:t>
            </w:r>
          </w:p>
        </w:tc>
      </w:tr>
      <w:tr w:rsidR="0080749A" w:rsidTr="00C71E47" w14:paraId="5B7534AD" w14:textId="77777777">
        <w:trPr>
          <w:trHeight w:val="300"/>
        </w:trPr>
        <w:tc>
          <w:tcPr>
            <w:tcW w:w="3001" w:type="dxa"/>
            <w:tcBorders>
              <w:top w:val="nil"/>
              <w:left w:val="single" w:color="auto" w:sz="4" w:space="0"/>
              <w:bottom w:val="nil"/>
              <w:right w:val="nil"/>
            </w:tcBorders>
          </w:tcPr>
          <w:p w:rsidR="0080749A" w:rsidP="746D2C75" w:rsidRDefault="0080749A" w14:paraId="759D152D" w14:textId="77777777">
            <w:pPr>
              <w:spacing w:before="60" w:after="60"/>
              <w:rPr>
                <w:rStyle w:val="Firstpagetablebold"/>
              </w:rPr>
            </w:pPr>
            <w:r>
              <w:rPr>
                <w:rStyle w:val="Firstpagetablebold"/>
              </w:rPr>
              <w:t>Corporate Priority:</w:t>
            </w:r>
          </w:p>
        </w:tc>
        <w:tc>
          <w:tcPr>
            <w:tcW w:w="6379" w:type="dxa"/>
            <w:tcBorders>
              <w:top w:val="nil"/>
              <w:left w:val="nil"/>
              <w:bottom w:val="nil"/>
              <w:right w:val="single" w:color="auto" w:sz="4" w:space="0"/>
            </w:tcBorders>
          </w:tcPr>
          <w:p w:rsidRPr="001356F1" w:rsidR="0080749A" w:rsidP="746D2C75" w:rsidRDefault="737F0D4B" w14:paraId="2642604D" w14:textId="3AA8EAFC">
            <w:pPr>
              <w:spacing w:before="60" w:after="60"/>
            </w:pPr>
            <w:r>
              <w:t>All areas</w:t>
            </w:r>
          </w:p>
        </w:tc>
      </w:tr>
      <w:tr w:rsidR="00D5547E" w:rsidTr="00C71E47" w14:paraId="46AAC5B4" w14:textId="77777777">
        <w:trPr>
          <w:trHeight w:val="300"/>
        </w:trPr>
        <w:tc>
          <w:tcPr>
            <w:tcW w:w="3001" w:type="dxa"/>
            <w:tcBorders>
              <w:top w:val="nil"/>
              <w:left w:val="single" w:color="auto" w:sz="4" w:space="0"/>
              <w:bottom w:val="single" w:color="auto" w:sz="4" w:space="0"/>
              <w:right w:val="nil"/>
            </w:tcBorders>
            <w:hideMark/>
          </w:tcPr>
          <w:p w:rsidR="00D5547E" w:rsidP="746D2C75" w:rsidRDefault="00D5547E" w14:paraId="3A72AE5C" w14:textId="77777777">
            <w:pPr>
              <w:spacing w:before="60" w:after="60"/>
              <w:rPr>
                <w:rStyle w:val="Firstpagetablebold"/>
              </w:rPr>
            </w:pPr>
            <w:r>
              <w:rPr>
                <w:rStyle w:val="Firstpagetablebold"/>
              </w:rPr>
              <w:t>Policy Framework:</w:t>
            </w:r>
          </w:p>
        </w:tc>
        <w:tc>
          <w:tcPr>
            <w:tcW w:w="6379" w:type="dxa"/>
            <w:tcBorders>
              <w:top w:val="nil"/>
              <w:left w:val="nil"/>
              <w:bottom w:val="single" w:color="auto" w:sz="4" w:space="0"/>
              <w:right w:val="single" w:color="auto" w:sz="4" w:space="0"/>
            </w:tcBorders>
            <w:hideMark/>
          </w:tcPr>
          <w:p w:rsidRPr="001356F1" w:rsidR="00D5547E" w:rsidP="746D2C75" w:rsidRDefault="00044A94" w14:paraId="6D2BADA4" w14:textId="70F08708">
            <w:pPr>
              <w:spacing w:before="60" w:after="60"/>
            </w:pPr>
            <w:r>
              <w:t>Corporate Plan</w:t>
            </w:r>
          </w:p>
          <w:p w:rsidRPr="001356F1" w:rsidR="00D5547E" w:rsidP="746D2C75" w:rsidRDefault="00D5547E" w14:paraId="5C97CD45" w14:textId="19CFBA01">
            <w:pPr>
              <w:spacing w:before="60" w:after="60"/>
            </w:pPr>
          </w:p>
        </w:tc>
      </w:tr>
    </w:tbl>
    <w:p w:rsidR="00EC334D" w:rsidRDefault="00EC334D" w14:paraId="6E282F35" w14:textId="77777777"/>
    <w:tbl>
      <w:tblPr>
        <w:tblW w:w="9380" w:type="dxa"/>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9380"/>
      </w:tblGrid>
      <w:tr w:rsidRPr="00975B07" w:rsidR="005F7F7E" w:rsidTr="008015E8" w14:paraId="6D67B177" w14:textId="77777777">
        <w:trPr>
          <w:trHeight w:val="300"/>
        </w:trPr>
        <w:tc>
          <w:tcPr>
            <w:tcW w:w="9380" w:type="dxa"/>
            <w:tcBorders>
              <w:bottom w:val="single" w:color="000000" w:themeColor="text1" w:sz="8" w:space="0"/>
            </w:tcBorders>
          </w:tcPr>
          <w:p w:rsidRPr="00975B07" w:rsidR="005F7F7E" w:rsidP="746D2C75" w:rsidRDefault="005F7F7E" w14:paraId="206F6AFA" w14:textId="77777777">
            <w:pPr>
              <w:spacing w:before="60" w:after="60"/>
            </w:pPr>
            <w:r>
              <w:rPr>
                <w:rStyle w:val="Firstpagetablebold"/>
              </w:rPr>
              <w:t>Recommendation(s):</w:t>
            </w:r>
            <w:r w:rsidR="007E64F0">
              <w:rPr>
                <w:rStyle w:val="Firstpagetablebold"/>
              </w:rPr>
              <w:t xml:space="preserve"> </w:t>
            </w:r>
            <w:r>
              <w:rPr>
                <w:rStyle w:val="Firstpagetablebold"/>
              </w:rPr>
              <w:t xml:space="preserve">That the </w:t>
            </w:r>
            <w:r w:rsidR="00CF795B">
              <w:rPr>
                <w:rStyle w:val="Firstpagetablebold"/>
              </w:rPr>
              <w:t>Cabinet</w:t>
            </w:r>
            <w:r w:rsidR="00A85B0E">
              <w:rPr>
                <w:rStyle w:val="Firstpagetablebold"/>
              </w:rPr>
              <w:t xml:space="preserve"> resolves to</w:t>
            </w:r>
            <w:r>
              <w:rPr>
                <w:rStyle w:val="Firstpagetablebold"/>
              </w:rPr>
              <w:t>:</w:t>
            </w:r>
          </w:p>
        </w:tc>
      </w:tr>
      <w:tr w:rsidRPr="00975B07" w:rsidR="0030208D" w:rsidTr="008015E8" w14:paraId="15830C22" w14:textId="77777777">
        <w:trPr>
          <w:trHeight w:val="300"/>
        </w:trPr>
        <w:tc>
          <w:tcPr>
            <w:tcW w:w="9380" w:type="dxa"/>
            <w:tcBorders>
              <w:top w:val="single" w:color="000000" w:themeColor="text1" w:sz="8" w:space="0"/>
              <w:left w:val="single" w:color="000000" w:themeColor="text1" w:sz="12" w:space="0"/>
            </w:tcBorders>
          </w:tcPr>
          <w:p w:rsidRPr="001356F1" w:rsidR="0069208B" w:rsidP="00B55494" w:rsidRDefault="00A85B0E" w14:paraId="5DA81D90" w14:textId="2077C1B7">
            <w:pPr>
              <w:pStyle w:val="ListParagraph"/>
              <w:numPr>
                <w:ilvl w:val="0"/>
                <w:numId w:val="9"/>
              </w:numPr>
              <w:spacing w:before="60" w:after="60"/>
              <w:ind w:left="339"/>
            </w:pPr>
            <w:r w:rsidRPr="00222A4F">
              <w:rPr>
                <w:rStyle w:val="Firstpagetablebold"/>
                <w:b w:val="0"/>
              </w:rPr>
              <w:t xml:space="preserve">Note </w:t>
            </w:r>
            <w:r w:rsidRPr="0049698A">
              <w:rPr>
                <w:rStyle w:val="Firstpagetablebold"/>
                <w:b w:val="0"/>
              </w:rPr>
              <w:t xml:space="preserve">the </w:t>
            </w:r>
            <w:r w:rsidRPr="0049698A" w:rsidR="0049698A">
              <w:rPr>
                <w:rStyle w:val="Firstpagetablebold"/>
                <w:b w:val="0"/>
              </w:rPr>
              <w:t>financial position</w:t>
            </w:r>
            <w:r w:rsidRPr="00287B05" w:rsidR="00287B05">
              <w:rPr>
                <w:rStyle w:val="Firstpagetablebold"/>
                <w:b w:val="0"/>
              </w:rPr>
              <w:t xml:space="preserve"> for</w:t>
            </w:r>
            <w:r w:rsidR="0049698A">
              <w:rPr>
                <w:rStyle w:val="Firstpagetablebold"/>
                <w:b w:val="0"/>
              </w:rPr>
              <w:t xml:space="preserve"> </w:t>
            </w:r>
            <w:r w:rsidRPr="0049698A" w:rsidR="0049698A">
              <w:rPr>
                <w:rStyle w:val="Firstpagetablebold"/>
                <w:b w:val="0"/>
                <w:bCs/>
              </w:rPr>
              <w:t xml:space="preserve">quarter </w:t>
            </w:r>
            <w:r w:rsidR="009A076A">
              <w:rPr>
                <w:rStyle w:val="Firstpagetablebold"/>
                <w:b w:val="0"/>
                <w:bCs/>
              </w:rPr>
              <w:t>2</w:t>
            </w:r>
            <w:r w:rsidRPr="0049698A" w:rsidR="0049698A">
              <w:rPr>
                <w:rStyle w:val="Firstpagetablebold"/>
                <w:b w:val="0"/>
                <w:bCs/>
              </w:rPr>
              <w:t xml:space="preserve"> (Q</w:t>
            </w:r>
            <w:r w:rsidR="009A076A">
              <w:rPr>
                <w:rStyle w:val="Firstpagetablebold"/>
                <w:b w:val="0"/>
                <w:bCs/>
              </w:rPr>
              <w:t>2</w:t>
            </w:r>
            <w:r w:rsidRPr="0049698A" w:rsidR="0049698A">
              <w:rPr>
                <w:rStyle w:val="Firstpagetablebold"/>
                <w:b w:val="0"/>
                <w:bCs/>
              </w:rPr>
              <w:t xml:space="preserve">) </w:t>
            </w:r>
            <w:r w:rsidRPr="0049698A" w:rsidR="00287B05">
              <w:rPr>
                <w:rStyle w:val="Firstpagetablebold"/>
                <w:b w:val="0"/>
                <w:bCs/>
              </w:rPr>
              <w:t>202</w:t>
            </w:r>
            <w:r w:rsidRPr="0049698A" w:rsidR="0049698A">
              <w:rPr>
                <w:rStyle w:val="Firstpagetablebold"/>
                <w:b w:val="0"/>
                <w:bCs/>
              </w:rPr>
              <w:t>5</w:t>
            </w:r>
            <w:r w:rsidRPr="00287B05" w:rsidR="00287B05">
              <w:rPr>
                <w:rStyle w:val="Firstpagetablebold"/>
                <w:b w:val="0"/>
              </w:rPr>
              <w:t>/2</w:t>
            </w:r>
            <w:r w:rsidR="0049698A">
              <w:rPr>
                <w:rStyle w:val="Firstpagetablebold"/>
                <w:b w:val="0"/>
              </w:rPr>
              <w:t>6</w:t>
            </w:r>
            <w:r w:rsidRPr="00222A4F" w:rsidR="00CF795B">
              <w:rPr>
                <w:rStyle w:val="Firstpagetablebold"/>
                <w:b w:val="0"/>
              </w:rPr>
              <w:t xml:space="preserve"> </w:t>
            </w:r>
            <w:r w:rsidRPr="0049698A" w:rsidR="0049698A">
              <w:rPr>
                <w:rStyle w:val="Firstpagetablebold"/>
                <w:b w:val="0"/>
              </w:rPr>
              <w:t>including forecast outturn</w:t>
            </w:r>
            <w:r w:rsidR="0049698A">
              <w:rPr>
                <w:rStyle w:val="Firstpagetablebold"/>
                <w:b w:val="0"/>
              </w:rPr>
              <w:t>,</w:t>
            </w:r>
            <w:r w:rsidR="0049698A">
              <w:rPr>
                <w:rStyle w:val="Firstpagetablebold"/>
              </w:rPr>
              <w:t xml:space="preserve"> </w:t>
            </w:r>
            <w:r w:rsidRPr="00222A4F" w:rsidR="00CF795B">
              <w:rPr>
                <w:rStyle w:val="Firstpagetablebold"/>
                <w:b w:val="0"/>
              </w:rPr>
              <w:t>as well as</w:t>
            </w:r>
            <w:r w:rsidRPr="00222A4F" w:rsidR="003F50F9">
              <w:rPr>
                <w:rStyle w:val="Firstpagetablebold"/>
                <w:b w:val="0"/>
              </w:rPr>
              <w:t xml:space="preserve"> the current position </w:t>
            </w:r>
            <w:r w:rsidRPr="00222A4F" w:rsidR="00A91B9B">
              <w:rPr>
                <w:rStyle w:val="Firstpagetablebold"/>
                <w:b w:val="0"/>
              </w:rPr>
              <w:t xml:space="preserve">on risk </w:t>
            </w:r>
            <w:r w:rsidRPr="00222A4F" w:rsidR="00A91B9B">
              <w:rPr>
                <w:rStyle w:val="Firstpagetablebold"/>
                <w:b w:val="0"/>
                <w:color w:val="auto"/>
              </w:rPr>
              <w:t xml:space="preserve">and performance </w:t>
            </w:r>
            <w:proofErr w:type="gramStart"/>
            <w:r w:rsidRPr="00222A4F" w:rsidR="00A91B9B">
              <w:rPr>
                <w:rStyle w:val="Firstpagetablebold"/>
                <w:b w:val="0"/>
              </w:rPr>
              <w:t>at</w:t>
            </w:r>
            <w:proofErr w:type="gramEnd"/>
            <w:r w:rsidRPr="00222A4F" w:rsidR="00A91B9B">
              <w:rPr>
                <w:rStyle w:val="Firstpagetablebold"/>
                <w:b w:val="0"/>
              </w:rPr>
              <w:t xml:space="preserve"> </w:t>
            </w:r>
            <w:r w:rsidRPr="001D22E9" w:rsidR="00A91B9B">
              <w:t>3</w:t>
            </w:r>
            <w:r w:rsidR="0049698A">
              <w:t>0</w:t>
            </w:r>
            <w:r w:rsidRPr="0049698A" w:rsidR="0049698A">
              <w:rPr>
                <w:vertAlign w:val="superscript"/>
              </w:rPr>
              <w:t>th</w:t>
            </w:r>
            <w:r w:rsidR="0049698A">
              <w:t xml:space="preserve"> </w:t>
            </w:r>
            <w:r w:rsidR="009A076A">
              <w:t xml:space="preserve">September </w:t>
            </w:r>
            <w:r w:rsidR="00287B05">
              <w:t>2025</w:t>
            </w:r>
            <w:r w:rsidRPr="00A17168" w:rsidR="00AD186F">
              <w:t>.</w:t>
            </w:r>
          </w:p>
        </w:tc>
      </w:tr>
    </w:tbl>
    <w:p w:rsidR="007A64CE" w:rsidP="008015E8" w:rsidRDefault="007A64CE" w14:paraId="123A7E8B" w14:textId="153E23A1"/>
    <w:tbl>
      <w:tblPr>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1"/>
        <w:gridCol w:w="6188"/>
        <w:gridCol w:w="1701"/>
      </w:tblGrid>
      <w:tr w:rsidRPr="00975B07" w:rsidR="0047503D" w:rsidTr="008015E8" w14:paraId="0048E86D" w14:textId="2F14B27A">
        <w:trPr>
          <w:trHeight w:val="300"/>
        </w:trPr>
        <w:tc>
          <w:tcPr>
            <w:tcW w:w="149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975B07" w:rsidR="0047503D" w:rsidP="746D2C75" w:rsidRDefault="0047503D" w14:paraId="0A44E83C" w14:textId="2490E1EA">
            <w:pPr>
              <w:spacing w:before="60" w:after="60"/>
              <w:jc w:val="center"/>
            </w:pPr>
            <w:r w:rsidRPr="00745BF0">
              <w:rPr>
                <w:rStyle w:val="Firstpagetablebold"/>
              </w:rPr>
              <w:t>Appendi</w:t>
            </w:r>
            <w:r w:rsidR="006D66A3">
              <w:rPr>
                <w:rStyle w:val="Firstpagetablebold"/>
              </w:rPr>
              <w:t>x No.</w:t>
            </w:r>
          </w:p>
        </w:tc>
        <w:tc>
          <w:tcPr>
            <w:tcW w:w="6188"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8015E8" w:rsidR="0047503D" w:rsidP="746D2C75" w:rsidRDefault="006D66A3" w14:paraId="5524CFE8" w14:textId="4841862F">
            <w:pPr>
              <w:spacing w:before="60" w:after="60"/>
              <w:jc w:val="center"/>
              <w:rPr>
                <w:b/>
                <w:bCs/>
              </w:rPr>
            </w:pPr>
            <w:r w:rsidRPr="008015E8">
              <w:rPr>
                <w:b/>
                <w:bCs/>
              </w:rPr>
              <w:t>Appendix Title</w:t>
            </w:r>
          </w:p>
        </w:tc>
        <w:tc>
          <w:tcPr>
            <w:tcW w:w="1701" w:type="dxa"/>
            <w:tcBorders>
              <w:top w:val="single" w:color="000000" w:themeColor="text1" w:sz="8" w:space="0"/>
              <w:left w:val="single" w:color="000000" w:themeColor="text1" w:sz="8" w:space="0"/>
              <w:bottom w:val="single" w:color="000000" w:themeColor="text1" w:sz="8" w:space="0"/>
              <w:right w:val="single" w:color="000000" w:themeColor="text1" w:sz="8" w:space="0"/>
            </w:tcBorders>
          </w:tcPr>
          <w:p w:rsidRPr="00745BF0" w:rsidR="0047503D" w:rsidP="746D2C75" w:rsidRDefault="00124D88" w14:paraId="480FCA70" w14:textId="514EC56E">
            <w:pPr>
              <w:spacing w:before="60" w:after="60"/>
              <w:jc w:val="center"/>
              <w:rPr>
                <w:rStyle w:val="Firstpagetablebold"/>
              </w:rPr>
            </w:pPr>
            <w:r>
              <w:rPr>
                <w:rStyle w:val="Firstpagetablebold"/>
              </w:rPr>
              <w:t>Exempt from Publication</w:t>
            </w:r>
          </w:p>
        </w:tc>
      </w:tr>
      <w:tr w:rsidRPr="00975B07" w:rsidR="00C03F57" w:rsidTr="008015E8" w14:paraId="24F7CD61" w14:textId="3A5D082C">
        <w:trPr>
          <w:trHeight w:val="300"/>
        </w:trPr>
        <w:tc>
          <w:tcPr>
            <w:tcW w:w="1491" w:type="dxa"/>
            <w:tcBorders>
              <w:top w:val="single" w:color="auto" w:sz="4" w:space="0"/>
              <w:left w:val="single" w:color="auto" w:sz="4" w:space="0"/>
              <w:bottom w:val="single" w:color="auto" w:sz="4" w:space="0"/>
              <w:right w:val="single" w:color="auto" w:sz="4" w:space="0"/>
            </w:tcBorders>
          </w:tcPr>
          <w:p w:rsidR="00857F02" w:rsidP="00310837" w:rsidRDefault="00857F02" w14:paraId="52D7B0EC" w14:textId="77777777">
            <w:pPr>
              <w:spacing w:before="60" w:after="60"/>
            </w:pPr>
            <w:r>
              <w:t>Appendix A</w:t>
            </w:r>
          </w:p>
          <w:p w:rsidR="00857F02" w:rsidP="00310837" w:rsidRDefault="00857F02" w14:paraId="37AB246D" w14:textId="77777777">
            <w:pPr>
              <w:spacing w:before="60" w:after="0"/>
            </w:pPr>
            <w:r>
              <w:t>Appendix B</w:t>
            </w:r>
          </w:p>
          <w:p w:rsidR="0064030C" w:rsidP="00310837" w:rsidRDefault="0064030C" w14:paraId="0551C2AD" w14:textId="77777777">
            <w:pPr>
              <w:spacing w:before="60" w:after="0"/>
            </w:pPr>
          </w:p>
          <w:p w:rsidRPr="00975B07" w:rsidR="00857F02" w:rsidP="00310837" w:rsidRDefault="00857F02" w14:paraId="1B13B0F5" w14:textId="1F71161A">
            <w:pPr>
              <w:spacing w:before="60" w:after="60"/>
            </w:pPr>
            <w:r>
              <w:t>Appendix C</w:t>
            </w:r>
          </w:p>
        </w:tc>
        <w:tc>
          <w:tcPr>
            <w:tcW w:w="6188" w:type="dxa"/>
            <w:tcBorders>
              <w:top w:val="nil"/>
              <w:left w:val="single" w:color="auto" w:sz="4" w:space="0"/>
              <w:bottom w:val="single" w:color="000000" w:themeColor="text1" w:sz="8" w:space="0"/>
              <w:right w:val="single" w:color="000000" w:themeColor="text1" w:sz="8" w:space="0"/>
            </w:tcBorders>
          </w:tcPr>
          <w:p w:rsidRPr="009D32A0" w:rsidR="00857F02" w:rsidP="00310837" w:rsidRDefault="00857F02" w14:paraId="5D786D36" w14:textId="2AB5EAAC">
            <w:pPr>
              <w:spacing w:before="60" w:after="60"/>
            </w:pPr>
            <w:r w:rsidRPr="009D32A0">
              <w:t xml:space="preserve">General Fund </w:t>
            </w:r>
            <w:r>
              <w:t>–</w:t>
            </w:r>
            <w:r w:rsidRPr="009D32A0">
              <w:t xml:space="preserve"> </w:t>
            </w:r>
            <w:r w:rsidR="009A076A">
              <w:t>September</w:t>
            </w:r>
            <w:r w:rsidR="0049698A">
              <w:t xml:space="preserve"> </w:t>
            </w:r>
            <w:r w:rsidR="00287B05">
              <w:t>2025</w:t>
            </w:r>
            <w:r w:rsidRPr="009D32A0">
              <w:t xml:space="preserve"> </w:t>
            </w:r>
            <w:r w:rsidRPr="0049698A">
              <w:t>Forecast</w:t>
            </w:r>
            <w:r w:rsidRPr="009D32A0">
              <w:t xml:space="preserve"> Outturn</w:t>
            </w:r>
          </w:p>
          <w:p w:rsidRPr="009D32A0" w:rsidR="00857F02" w:rsidP="00310837" w:rsidRDefault="00857F02" w14:paraId="70029205" w14:textId="54F7E3C2">
            <w:pPr>
              <w:spacing w:before="60"/>
            </w:pPr>
            <w:bookmarkStart w:name="_Hlk189229784" w:id="0"/>
            <w:r w:rsidRPr="009D32A0">
              <w:t xml:space="preserve">Housing Revenue Account </w:t>
            </w:r>
            <w:r>
              <w:t>–</w:t>
            </w:r>
            <w:r w:rsidRPr="009D32A0">
              <w:t xml:space="preserve"> </w:t>
            </w:r>
            <w:r w:rsidR="009A076A">
              <w:t>September</w:t>
            </w:r>
            <w:r w:rsidR="00287B05">
              <w:t xml:space="preserve"> 2025</w:t>
            </w:r>
            <w:r>
              <w:t xml:space="preserve"> </w:t>
            </w:r>
            <w:r w:rsidRPr="0049698A">
              <w:t>Forecast</w:t>
            </w:r>
            <w:r w:rsidRPr="009D32A0">
              <w:t xml:space="preserve"> Outturn</w:t>
            </w:r>
          </w:p>
          <w:bookmarkEnd w:id="0"/>
          <w:p w:rsidRPr="00964187" w:rsidR="00857F02" w:rsidP="00310837" w:rsidRDefault="00857F02" w14:paraId="69F2DC3C" w14:textId="14395CFA">
            <w:pPr>
              <w:spacing w:before="60" w:after="60"/>
            </w:pPr>
            <w:r w:rsidRPr="009D32A0">
              <w:t xml:space="preserve">Capital Programme – </w:t>
            </w:r>
            <w:r w:rsidR="009A076A">
              <w:t>September</w:t>
            </w:r>
            <w:r w:rsidR="00287B05">
              <w:t xml:space="preserve"> 2025</w:t>
            </w:r>
          </w:p>
        </w:tc>
        <w:tc>
          <w:tcPr>
            <w:tcW w:w="1701" w:type="dxa"/>
            <w:tcBorders>
              <w:top w:val="nil"/>
              <w:left w:val="single" w:color="auto" w:sz="4" w:space="0"/>
              <w:bottom w:val="single" w:color="000000" w:themeColor="text1" w:sz="8" w:space="0"/>
              <w:right w:val="single" w:color="000000" w:themeColor="text1" w:sz="8" w:space="0"/>
            </w:tcBorders>
          </w:tcPr>
          <w:p w:rsidR="00857F02" w:rsidP="00310837" w:rsidRDefault="00124D88" w14:paraId="4B1B7B05" w14:textId="77777777">
            <w:pPr>
              <w:spacing w:before="60" w:after="60"/>
            </w:pPr>
            <w:r>
              <w:t>No</w:t>
            </w:r>
          </w:p>
          <w:p w:rsidR="00124D88" w:rsidP="00310837" w:rsidRDefault="00124D88" w14:paraId="36D8D668" w14:textId="77777777">
            <w:pPr>
              <w:spacing w:before="60" w:after="60"/>
            </w:pPr>
            <w:r>
              <w:t>No</w:t>
            </w:r>
          </w:p>
          <w:p w:rsidR="0064030C" w:rsidP="00310837" w:rsidRDefault="0064030C" w14:paraId="13D68129" w14:textId="77777777">
            <w:pPr>
              <w:spacing w:before="60" w:after="60"/>
            </w:pPr>
          </w:p>
          <w:p w:rsidRPr="009D32A0" w:rsidR="00124D88" w:rsidP="00310837" w:rsidRDefault="00124D88" w14:paraId="1E0F4FEF" w14:textId="31F80B4E">
            <w:pPr>
              <w:spacing w:before="60" w:after="60"/>
            </w:pPr>
            <w:r>
              <w:t>No</w:t>
            </w:r>
          </w:p>
        </w:tc>
      </w:tr>
    </w:tbl>
    <w:p w:rsidRPr="008015E8" w:rsidR="00124D88" w:rsidP="008015E8" w:rsidRDefault="00124D88" w14:paraId="01179467" w14:textId="77042A48"/>
    <w:p w:rsidR="007A64CE" w:rsidRDefault="007A64CE" w14:paraId="1AAEF7B8" w14:textId="594D4765">
      <w:pPr>
        <w:spacing w:after="0"/>
      </w:pPr>
      <w:r>
        <w:br w:type="page"/>
      </w:r>
    </w:p>
    <w:p w:rsidRPr="00871859" w:rsidR="0040736F" w:rsidP="004A6D2F" w:rsidRDefault="716FB854" w14:paraId="518EC513" w14:textId="7B34C2EF">
      <w:pPr>
        <w:pStyle w:val="Heading1"/>
        <w:rPr>
          <w:color w:val="auto"/>
        </w:rPr>
      </w:pPr>
      <w:r w:rsidRPr="14BF4969">
        <w:rPr>
          <w:color w:val="auto"/>
        </w:rPr>
        <w:lastRenderedPageBreak/>
        <w:t>I</w:t>
      </w:r>
      <w:r w:rsidRPr="14BF4969" w:rsidR="4CB20B34">
        <w:rPr>
          <w:color w:val="auto"/>
        </w:rPr>
        <w:t>ntroduction and b</w:t>
      </w:r>
      <w:r w:rsidRPr="14BF4969" w:rsidR="77A20A22">
        <w:rPr>
          <w:color w:val="auto"/>
        </w:rPr>
        <w:t>ackground</w:t>
      </w:r>
      <w:r w:rsidRPr="14BF4969" w:rsidR="41E65D8E">
        <w:rPr>
          <w:color w:val="auto"/>
        </w:rPr>
        <w:t xml:space="preserve"> </w:t>
      </w:r>
    </w:p>
    <w:p w:rsidRPr="004415B7" w:rsidR="00DD021A" w:rsidP="004061A5" w:rsidRDefault="36A9D1C1" w14:paraId="571A21D5" w14:textId="738A263A">
      <w:pPr>
        <w:pStyle w:val="ListParagraph"/>
        <w:numPr>
          <w:ilvl w:val="0"/>
          <w:numId w:val="5"/>
        </w:numPr>
        <w:tabs>
          <w:tab w:val="clear" w:pos="426"/>
        </w:tabs>
        <w:ind w:left="851" w:hanging="567"/>
      </w:pPr>
      <w:r w:rsidRPr="004415B7">
        <w:t xml:space="preserve">This report </w:t>
      </w:r>
      <w:r w:rsidRPr="004415B7" w:rsidR="6932CF35">
        <w:t xml:space="preserve">updates the </w:t>
      </w:r>
      <w:r w:rsidRPr="004415B7" w:rsidR="21EC3946">
        <w:t>Cabinet</w:t>
      </w:r>
      <w:r w:rsidRPr="004415B7" w:rsidR="6932CF35">
        <w:t xml:space="preserve"> on the</w:t>
      </w:r>
      <w:r w:rsidRPr="004415B7" w:rsidR="446598DC">
        <w:t xml:space="preserve"> financial</w:t>
      </w:r>
      <w:r w:rsidRPr="004415B7" w:rsidR="59CDF7E9">
        <w:t>, corporate p</w:t>
      </w:r>
      <w:r w:rsidRPr="004415B7" w:rsidR="6932CF35">
        <w:t xml:space="preserve">erformance </w:t>
      </w:r>
      <w:r w:rsidRPr="004415B7" w:rsidR="59CDF7E9">
        <w:t xml:space="preserve">and corporate risk positions </w:t>
      </w:r>
      <w:r w:rsidRPr="004415B7" w:rsidR="6932CF35">
        <w:t xml:space="preserve">of the Council </w:t>
      </w:r>
      <w:proofErr w:type="gramStart"/>
      <w:r w:rsidRPr="004415B7" w:rsidR="6932CF35">
        <w:t>at</w:t>
      </w:r>
      <w:proofErr w:type="gramEnd"/>
      <w:r w:rsidRPr="004415B7" w:rsidR="6932CF35">
        <w:t xml:space="preserve"> 3</w:t>
      </w:r>
      <w:r w:rsidRPr="004415B7" w:rsidR="00EC48AB">
        <w:t>0</w:t>
      </w:r>
      <w:r w:rsidRPr="004415B7" w:rsidR="009A076A">
        <w:rPr>
          <w:vertAlign w:val="superscript"/>
        </w:rPr>
        <w:t>th</w:t>
      </w:r>
      <w:r w:rsidRPr="004415B7" w:rsidR="009A076A">
        <w:t xml:space="preserve"> September</w:t>
      </w:r>
      <w:r w:rsidRPr="004415B7" w:rsidR="00287B05">
        <w:t xml:space="preserve"> 2025</w:t>
      </w:r>
      <w:r w:rsidRPr="004415B7" w:rsidR="0074685F">
        <w:t>.</w:t>
      </w:r>
    </w:p>
    <w:p w:rsidRPr="004415B7" w:rsidR="00FB70AC" w:rsidP="003976F3" w:rsidRDefault="61063836" w14:paraId="2FF52025" w14:textId="549B2C8F">
      <w:pPr>
        <w:pStyle w:val="Heading1"/>
        <w:rPr>
          <w:color w:val="auto"/>
        </w:rPr>
      </w:pPr>
      <w:r w:rsidRPr="004415B7">
        <w:rPr>
          <w:color w:val="auto"/>
        </w:rPr>
        <w:t xml:space="preserve">Financial </w:t>
      </w:r>
      <w:r w:rsidRPr="004415B7" w:rsidR="006C483B">
        <w:rPr>
          <w:color w:val="auto"/>
        </w:rPr>
        <w:t>Position</w:t>
      </w:r>
      <w:r w:rsidRPr="004415B7" w:rsidR="7F76ECE6">
        <w:rPr>
          <w:color w:val="auto"/>
        </w:rPr>
        <w:t xml:space="preserve"> Overview</w:t>
      </w:r>
    </w:p>
    <w:p w:rsidRPr="004415B7" w:rsidR="00EC48AB" w:rsidP="001A76FE" w:rsidRDefault="00C2674F" w14:paraId="1C8BE93F" w14:textId="3E28E9C7">
      <w:pPr>
        <w:pStyle w:val="ListParagraph"/>
        <w:numPr>
          <w:ilvl w:val="0"/>
          <w:numId w:val="5"/>
        </w:numPr>
        <w:tabs>
          <w:tab w:val="clear" w:pos="426"/>
        </w:tabs>
        <w:ind w:left="851" w:hanging="567"/>
      </w:pPr>
      <w:r w:rsidRPr="004415B7">
        <w:rPr>
          <w:b/>
          <w:bCs/>
        </w:rPr>
        <w:t>General Fund</w:t>
      </w:r>
      <w:r w:rsidRPr="004415B7">
        <w:t xml:space="preserve"> </w:t>
      </w:r>
      <w:r w:rsidRPr="004415B7" w:rsidR="00477C55">
        <w:t xml:space="preserve">(GF) </w:t>
      </w:r>
      <w:r w:rsidRPr="004415B7">
        <w:t xml:space="preserve">– </w:t>
      </w:r>
      <w:r w:rsidRPr="004415B7" w:rsidR="00EC48AB">
        <w:t xml:space="preserve">The General Fund is reporting </w:t>
      </w:r>
      <w:r w:rsidRPr="004415B7" w:rsidR="00400EE3">
        <w:t xml:space="preserve">a </w:t>
      </w:r>
      <w:r w:rsidRPr="004415B7" w:rsidR="00EC48AB">
        <w:t xml:space="preserve">projected </w:t>
      </w:r>
      <w:r w:rsidRPr="004415B7" w:rsidR="00675DB3">
        <w:t xml:space="preserve">2025/26 </w:t>
      </w:r>
      <w:r w:rsidR="261BC6B7">
        <w:t>adverse variance</w:t>
      </w:r>
      <w:r w:rsidRPr="004415B7" w:rsidR="00400EE3">
        <w:t xml:space="preserve"> of £</w:t>
      </w:r>
      <w:r w:rsidR="00F6706F">
        <w:t>0.641</w:t>
      </w:r>
      <w:r w:rsidRPr="004415B7" w:rsidR="007613A8">
        <w:t xml:space="preserve"> </w:t>
      </w:r>
      <w:r w:rsidRPr="004415B7" w:rsidR="00D014B2">
        <w:t>compared</w:t>
      </w:r>
      <w:r w:rsidRPr="004415B7" w:rsidR="00483EC1">
        <w:t xml:space="preserve"> </w:t>
      </w:r>
      <w:r w:rsidRPr="004415B7" w:rsidR="00D014B2">
        <w:t>to</w:t>
      </w:r>
      <w:r w:rsidRPr="004415B7" w:rsidR="00EC48AB">
        <w:t xml:space="preserve"> the </w:t>
      </w:r>
      <w:r w:rsidRPr="004415B7" w:rsidR="007D27B8">
        <w:t xml:space="preserve">2025/26 </w:t>
      </w:r>
      <w:r w:rsidR="00E45E52">
        <w:t>l</w:t>
      </w:r>
      <w:r w:rsidRPr="004415B7" w:rsidR="00EC48AB">
        <w:t xml:space="preserve">atest </w:t>
      </w:r>
      <w:r w:rsidR="00E45E52">
        <w:t>b</w:t>
      </w:r>
      <w:r w:rsidRPr="004415B7" w:rsidR="00EC48AB">
        <w:t>udget</w:t>
      </w:r>
      <w:r w:rsidRPr="004415B7" w:rsidR="00086CF2">
        <w:t>;</w:t>
      </w:r>
      <w:r w:rsidRPr="004415B7" w:rsidR="00B37C04">
        <w:t xml:space="preserve"> this is </w:t>
      </w:r>
      <w:r w:rsidR="00C06D7F">
        <w:t>almost</w:t>
      </w:r>
      <w:r w:rsidR="00557560">
        <w:t xml:space="preserve"> static</w:t>
      </w:r>
      <w:r w:rsidR="00C06D7F">
        <w:t xml:space="preserve"> </w:t>
      </w:r>
      <w:r w:rsidRPr="00C06D7F" w:rsidR="00A82D35">
        <w:t xml:space="preserve">to </w:t>
      </w:r>
      <w:r w:rsidRPr="00C06D7F" w:rsidR="00B37C04">
        <w:t>the forecast</w:t>
      </w:r>
      <w:r w:rsidRPr="004415B7" w:rsidR="00B37C04">
        <w:t xml:space="preserve"> </w:t>
      </w:r>
      <w:r w:rsidR="35B57E79">
        <w:t>adverse var</w:t>
      </w:r>
      <w:r w:rsidR="00D169B8">
        <w:t>i</w:t>
      </w:r>
      <w:r w:rsidR="35B57E79">
        <w:t>ance</w:t>
      </w:r>
      <w:r w:rsidRPr="004415B7" w:rsidR="00B37C04">
        <w:t xml:space="preserve"> of £0.656m reported at 1Q.</w:t>
      </w:r>
    </w:p>
    <w:p w:rsidRPr="004415B7" w:rsidR="00142A87" w:rsidP="004061A5" w:rsidRDefault="000E49D0" w14:paraId="0175F603" w14:textId="1528660C">
      <w:pPr>
        <w:ind w:left="851"/>
      </w:pPr>
      <w:r w:rsidRPr="004415B7">
        <w:t xml:space="preserve">Further detail is provided in paragraphs </w:t>
      </w:r>
      <w:r w:rsidRPr="004415B7" w:rsidR="006A4DDC">
        <w:t>6</w:t>
      </w:r>
      <w:r w:rsidRPr="004415B7">
        <w:t xml:space="preserve"> to </w:t>
      </w:r>
      <w:r w:rsidRPr="004415B7" w:rsidR="006A4DDC">
        <w:t>8</w:t>
      </w:r>
      <w:r w:rsidRPr="004415B7" w:rsidR="00463CC8">
        <w:t xml:space="preserve"> </w:t>
      </w:r>
      <w:r w:rsidR="00490A32">
        <w:t xml:space="preserve">of this report </w:t>
      </w:r>
      <w:r w:rsidRPr="004415B7">
        <w:t xml:space="preserve">and </w:t>
      </w:r>
      <w:r w:rsidRPr="004415B7" w:rsidR="003C4353">
        <w:t xml:space="preserve">in </w:t>
      </w:r>
      <w:r w:rsidRPr="004415B7">
        <w:t>Appendix A.</w:t>
      </w:r>
    </w:p>
    <w:p w:rsidRPr="004415B7" w:rsidR="00B664FC" w:rsidP="004061A5" w:rsidRDefault="00C2674F" w14:paraId="7358239E" w14:textId="2DA8F60F">
      <w:pPr>
        <w:pStyle w:val="ListParagraph"/>
        <w:numPr>
          <w:ilvl w:val="0"/>
          <w:numId w:val="5"/>
        </w:numPr>
        <w:tabs>
          <w:tab w:val="clear" w:pos="426"/>
        </w:tabs>
        <w:ind w:left="851" w:hanging="567"/>
      </w:pPr>
      <w:r w:rsidRPr="004415B7">
        <w:rPr>
          <w:b/>
          <w:bCs/>
        </w:rPr>
        <w:t xml:space="preserve">Housing Revenue Account </w:t>
      </w:r>
      <w:r w:rsidRPr="004415B7" w:rsidR="00477C55">
        <w:t xml:space="preserve">(HRA) </w:t>
      </w:r>
      <w:r w:rsidRPr="004415B7">
        <w:t>–</w:t>
      </w:r>
      <w:r w:rsidRPr="004415B7" w:rsidR="7306A389">
        <w:t xml:space="preserve"> </w:t>
      </w:r>
      <w:r w:rsidRPr="004415B7" w:rsidR="001E3228">
        <w:t>At Q</w:t>
      </w:r>
      <w:r w:rsidRPr="004415B7" w:rsidR="0060064E">
        <w:t>2</w:t>
      </w:r>
      <w:r w:rsidRPr="004415B7" w:rsidR="001E3228">
        <w:t xml:space="preserve"> 2025/26 the HRA </w:t>
      </w:r>
      <w:r w:rsidR="20EF89B8">
        <w:t>year to date position indicates</w:t>
      </w:r>
      <w:r w:rsidRPr="004415B7" w:rsidR="001E3228">
        <w:t xml:space="preserve"> a favourable variance of £1.</w:t>
      </w:r>
      <w:r w:rsidRPr="004415B7" w:rsidR="00F756E4">
        <w:t>398</w:t>
      </w:r>
      <w:r w:rsidRPr="004415B7" w:rsidR="001E3228">
        <w:t xml:space="preserve">m mainly due </w:t>
      </w:r>
      <w:r w:rsidRPr="004415B7" w:rsidR="00BE42B9">
        <w:t xml:space="preserve">to </w:t>
      </w:r>
      <w:r w:rsidRPr="004415B7" w:rsidR="00E9322A">
        <w:t>additional income of £0.212m</w:t>
      </w:r>
      <w:r w:rsidRPr="004415B7" w:rsidR="00FF076B">
        <w:t>,</w:t>
      </w:r>
      <w:r w:rsidRPr="004415B7" w:rsidR="00E9322A">
        <w:t xml:space="preserve"> a </w:t>
      </w:r>
      <w:r w:rsidR="747013C8">
        <w:t>favourable var</w:t>
      </w:r>
      <w:r w:rsidR="00CE4039">
        <w:t>i</w:t>
      </w:r>
      <w:r w:rsidR="747013C8">
        <w:t>ance on</w:t>
      </w:r>
      <w:r w:rsidRPr="004415B7" w:rsidR="001E3228">
        <w:t xml:space="preserve"> </w:t>
      </w:r>
      <w:r w:rsidR="00062038">
        <w:t>r</w:t>
      </w:r>
      <w:r w:rsidRPr="004415B7" w:rsidR="001E3228">
        <w:t xml:space="preserve">esponsive </w:t>
      </w:r>
      <w:r w:rsidR="00206412">
        <w:t>and</w:t>
      </w:r>
      <w:r w:rsidRPr="004415B7" w:rsidR="001E3228">
        <w:t xml:space="preserve"> </w:t>
      </w:r>
      <w:r w:rsidR="00206412">
        <w:t>c</w:t>
      </w:r>
      <w:r w:rsidRPr="004415B7" w:rsidR="001E3228">
        <w:t xml:space="preserve">yclical </w:t>
      </w:r>
      <w:r w:rsidR="00206412">
        <w:t>r</w:t>
      </w:r>
      <w:r w:rsidRPr="004415B7" w:rsidR="001E3228">
        <w:t>epairs</w:t>
      </w:r>
      <w:r w:rsidRPr="004415B7" w:rsidR="00BE42B9">
        <w:t xml:space="preserve"> </w:t>
      </w:r>
      <w:r w:rsidRPr="004415B7" w:rsidR="00E9322A">
        <w:t xml:space="preserve">of </w:t>
      </w:r>
      <w:r w:rsidRPr="004415B7" w:rsidR="00BE42B9">
        <w:t>£0.</w:t>
      </w:r>
      <w:r w:rsidR="00EA5303">
        <w:t>94</w:t>
      </w:r>
      <w:r w:rsidR="0EABE4A2">
        <w:t>0</w:t>
      </w:r>
      <w:r w:rsidR="00BE42B9">
        <w:t>m</w:t>
      </w:r>
      <w:r w:rsidRPr="004415B7" w:rsidR="00FF076B">
        <w:t xml:space="preserve"> and a favourable variance </w:t>
      </w:r>
      <w:r w:rsidRPr="004415B7" w:rsidR="00B664FC">
        <w:t>of £0.182m for bad debt</w:t>
      </w:r>
      <w:r w:rsidR="62809F4D">
        <w:t xml:space="preserve"> provision</w:t>
      </w:r>
      <w:r w:rsidRPr="004415B7" w:rsidR="00EA5303">
        <w:t xml:space="preserve">. </w:t>
      </w:r>
    </w:p>
    <w:p w:rsidRPr="004415B7" w:rsidR="00990C2E" w:rsidP="00990C2E" w:rsidRDefault="1A767045" w14:paraId="764E16E0" w14:textId="5A3FB99D">
      <w:pPr>
        <w:ind w:left="851"/>
        <w:rPr>
          <w:rFonts w:cs="Arial"/>
          <w:color w:val="auto"/>
        </w:rPr>
      </w:pPr>
      <w:r>
        <w:t xml:space="preserve">The HRA projected outturn for 2025/26 </w:t>
      </w:r>
      <w:r w:rsidR="79B0E8CC">
        <w:t xml:space="preserve">indicates </w:t>
      </w:r>
      <w:r>
        <w:t xml:space="preserve">a favourable </w:t>
      </w:r>
      <w:r w:rsidR="2C602D77">
        <w:t xml:space="preserve">overall </w:t>
      </w:r>
      <w:r>
        <w:t>variance of £0.089m</w:t>
      </w:r>
      <w:r w:rsidR="035B3B08">
        <w:t xml:space="preserve"> due to</w:t>
      </w:r>
      <w:r w:rsidR="0052383D">
        <w:t xml:space="preserve"> </w:t>
      </w:r>
      <w:r w:rsidR="00206412">
        <w:t>r</w:t>
      </w:r>
      <w:r w:rsidR="4DF8785E">
        <w:t xml:space="preserve">esponsive </w:t>
      </w:r>
      <w:r w:rsidR="00206412">
        <w:t>and</w:t>
      </w:r>
      <w:r w:rsidR="4DF8785E">
        <w:t xml:space="preserve"> </w:t>
      </w:r>
      <w:r w:rsidR="00206412">
        <w:t>c</w:t>
      </w:r>
      <w:r w:rsidR="4DF8785E">
        <w:t xml:space="preserve">yclical </w:t>
      </w:r>
      <w:r w:rsidR="00206412">
        <w:t>r</w:t>
      </w:r>
      <w:r w:rsidR="4DF8785E">
        <w:t xml:space="preserve">epairs forecast to be </w:t>
      </w:r>
      <w:r w:rsidR="5D4D70BD">
        <w:t>overspen</w:t>
      </w:r>
      <w:r w:rsidR="4A02EE72">
        <w:t>t</w:t>
      </w:r>
      <w:r w:rsidR="5D4D70BD">
        <w:t xml:space="preserve"> by £0.17</w:t>
      </w:r>
      <w:r w:rsidR="3F80E812">
        <w:t>0</w:t>
      </w:r>
      <w:r w:rsidR="5D4D70BD">
        <w:t xml:space="preserve">m </w:t>
      </w:r>
      <w:r w:rsidR="6646BE84">
        <w:t xml:space="preserve">by year-end </w:t>
      </w:r>
      <w:r w:rsidR="35083BC6">
        <w:t xml:space="preserve">and pressures </w:t>
      </w:r>
      <w:r w:rsidR="6DFED544">
        <w:t xml:space="preserve">on </w:t>
      </w:r>
      <w:r w:rsidR="00F121F3">
        <w:t>d</w:t>
      </w:r>
      <w:r w:rsidRPr="012EB228" w:rsidR="35083BC6">
        <w:rPr>
          <w:rFonts w:cs="Arial"/>
          <w:color w:val="auto"/>
        </w:rPr>
        <w:t xml:space="preserve">welling </w:t>
      </w:r>
      <w:r w:rsidR="00F121F3">
        <w:rPr>
          <w:rFonts w:cs="Arial"/>
          <w:color w:val="auto"/>
        </w:rPr>
        <w:t>r</w:t>
      </w:r>
      <w:r w:rsidRPr="012EB228" w:rsidR="35083BC6">
        <w:rPr>
          <w:rFonts w:cs="Arial"/>
          <w:color w:val="auto"/>
        </w:rPr>
        <w:t>ent of £0.22</w:t>
      </w:r>
      <w:r w:rsidRPr="012EB228" w:rsidR="6D68AA64">
        <w:rPr>
          <w:rFonts w:cs="Arial"/>
          <w:color w:val="auto"/>
        </w:rPr>
        <w:t>0</w:t>
      </w:r>
      <w:r w:rsidRPr="012EB228" w:rsidR="35083BC6">
        <w:rPr>
          <w:rFonts w:cs="Arial"/>
          <w:color w:val="auto"/>
        </w:rPr>
        <w:t xml:space="preserve">m </w:t>
      </w:r>
      <w:r w:rsidR="0052383D">
        <w:rPr>
          <w:rFonts w:cs="Arial"/>
          <w:color w:val="auto"/>
        </w:rPr>
        <w:t xml:space="preserve">arising </w:t>
      </w:r>
      <w:r w:rsidRPr="012EB228" w:rsidR="35083BC6">
        <w:rPr>
          <w:rFonts w:cs="Arial"/>
          <w:color w:val="auto"/>
        </w:rPr>
        <w:t>from delayed acquisitions.</w:t>
      </w:r>
    </w:p>
    <w:p w:rsidRPr="004415B7" w:rsidR="009D32A0" w:rsidP="004061A5" w:rsidRDefault="000E49D0" w14:paraId="28000FA9" w14:textId="78E316AD">
      <w:pPr>
        <w:ind w:left="851"/>
      </w:pPr>
      <w:r w:rsidRPr="004415B7">
        <w:t>More information is provided in paragraph</w:t>
      </w:r>
      <w:r w:rsidR="00F121F3">
        <w:t>s</w:t>
      </w:r>
      <w:r w:rsidRPr="004415B7">
        <w:t xml:space="preserve"> </w:t>
      </w:r>
      <w:r w:rsidRPr="004415B7" w:rsidR="006A4DDC">
        <w:t>9</w:t>
      </w:r>
      <w:r w:rsidRPr="004415B7">
        <w:t xml:space="preserve"> </w:t>
      </w:r>
      <w:r w:rsidRPr="004415B7" w:rsidR="00771A08">
        <w:t xml:space="preserve">to 11 </w:t>
      </w:r>
      <w:r w:rsidR="00F121F3">
        <w:t xml:space="preserve">of this report </w:t>
      </w:r>
      <w:r w:rsidRPr="004415B7">
        <w:t>and Appendix B.</w:t>
      </w:r>
    </w:p>
    <w:p w:rsidRPr="004415B7" w:rsidR="00132E27" w:rsidP="00132E27" w:rsidRDefault="5B1BAA90" w14:paraId="6F178499" w14:textId="108B7B8E">
      <w:pPr>
        <w:pStyle w:val="ListParagraph"/>
        <w:numPr>
          <w:ilvl w:val="0"/>
          <w:numId w:val="5"/>
        </w:numPr>
        <w:ind w:left="851" w:hanging="567"/>
      </w:pPr>
      <w:r w:rsidRPr="004415B7">
        <w:rPr>
          <w:b/>
          <w:bCs/>
        </w:rPr>
        <w:t xml:space="preserve">Capital Programme </w:t>
      </w:r>
      <w:r w:rsidRPr="004415B7">
        <w:t xml:space="preserve">– </w:t>
      </w:r>
      <w:r w:rsidRPr="004415B7" w:rsidR="00ED3180">
        <w:t xml:space="preserve">The </w:t>
      </w:r>
      <w:r w:rsidRPr="004415B7" w:rsidR="00EA6084">
        <w:t>20</w:t>
      </w:r>
      <w:r w:rsidRPr="004415B7" w:rsidR="00ED3180">
        <w:t>2</w:t>
      </w:r>
      <w:r w:rsidRPr="004415B7" w:rsidR="00132E27">
        <w:t>5</w:t>
      </w:r>
      <w:r w:rsidRPr="004415B7" w:rsidR="00ED3180">
        <w:t>/2</w:t>
      </w:r>
      <w:r w:rsidRPr="004415B7" w:rsidR="00132E27">
        <w:t>6</w:t>
      </w:r>
      <w:r w:rsidRPr="004415B7" w:rsidR="00ED3180">
        <w:t xml:space="preserve"> budget, as approved at the Council meeting in February 202</w:t>
      </w:r>
      <w:r w:rsidRPr="004415B7" w:rsidR="00132E27">
        <w:t>5</w:t>
      </w:r>
      <w:r w:rsidRPr="004415B7" w:rsidR="00ED3180">
        <w:t>, was set at £</w:t>
      </w:r>
      <w:r w:rsidRPr="004415B7" w:rsidR="00132E27">
        <w:t>179.014</w:t>
      </w:r>
      <w:r w:rsidRPr="004415B7" w:rsidR="00ED3180">
        <w:t>m</w:t>
      </w:r>
      <w:r w:rsidRPr="004415B7" w:rsidR="00F70899">
        <w:t>.</w:t>
      </w:r>
      <w:r w:rsidRPr="004415B7" w:rsidR="00ED3180">
        <w:t xml:space="preserve"> </w:t>
      </w:r>
      <w:r w:rsidRPr="004415B7" w:rsidR="00F70899">
        <w:t>The</w:t>
      </w:r>
      <w:r w:rsidRPr="004415B7" w:rsidR="00ED3180">
        <w:t xml:space="preserve"> carry forward of unspent balances in </w:t>
      </w:r>
      <w:r w:rsidRPr="004415B7" w:rsidR="000A38A2">
        <w:t>20</w:t>
      </w:r>
      <w:r w:rsidRPr="004415B7" w:rsidR="00ED3180">
        <w:t>2</w:t>
      </w:r>
      <w:r w:rsidRPr="004415B7" w:rsidR="00132E27">
        <w:t>4</w:t>
      </w:r>
      <w:r w:rsidRPr="004415B7" w:rsidR="00ED3180">
        <w:t>/2</w:t>
      </w:r>
      <w:r w:rsidRPr="004415B7" w:rsidR="00132E27">
        <w:t>5</w:t>
      </w:r>
      <w:r w:rsidRPr="004415B7" w:rsidR="00203C36">
        <w:t>,</w:t>
      </w:r>
      <w:r w:rsidRPr="004415B7" w:rsidR="003569AB">
        <w:t xml:space="preserve"> additional budget changes</w:t>
      </w:r>
      <w:r w:rsidRPr="004415B7" w:rsidR="00ED3180">
        <w:t xml:space="preserve"> including new allocations, further revision</w:t>
      </w:r>
      <w:r w:rsidR="006F379B">
        <w:t>s</w:t>
      </w:r>
      <w:r w:rsidRPr="004415B7" w:rsidR="00ED3180">
        <w:t xml:space="preserve"> </w:t>
      </w:r>
      <w:r w:rsidR="006F379B">
        <w:t>to</w:t>
      </w:r>
      <w:r w:rsidRPr="004415B7" w:rsidR="00ED3180">
        <w:t xml:space="preserve"> the </w:t>
      </w:r>
      <w:r w:rsidR="006F379B">
        <w:t xml:space="preserve">council’s loans to its housing </w:t>
      </w:r>
      <w:r w:rsidR="006323F3">
        <w:t>company</w:t>
      </w:r>
      <w:r w:rsidRPr="004415B7" w:rsidR="00ED3180">
        <w:t xml:space="preserve"> and </w:t>
      </w:r>
      <w:r w:rsidR="00490A32">
        <w:t xml:space="preserve">the </w:t>
      </w:r>
      <w:r w:rsidRPr="004415B7" w:rsidR="00ED3180">
        <w:t>HRA property purchases programme</w:t>
      </w:r>
      <w:r w:rsidRPr="004415B7" w:rsidR="00F70899">
        <w:t xml:space="preserve"> since the setting of the budget in February</w:t>
      </w:r>
      <w:r w:rsidRPr="004415B7" w:rsidR="00ED3180">
        <w:t>, lead</w:t>
      </w:r>
      <w:r w:rsidRPr="004415B7" w:rsidR="00F70899">
        <w:t>s</w:t>
      </w:r>
      <w:r w:rsidRPr="004415B7" w:rsidR="00ED3180">
        <w:t xml:space="preserve"> to a revised </w:t>
      </w:r>
      <w:r w:rsidRPr="004415B7" w:rsidR="00F70899">
        <w:t xml:space="preserve">2025/26 </w:t>
      </w:r>
      <w:r w:rsidRPr="004415B7" w:rsidR="00ED3180">
        <w:t>latest budget of £</w:t>
      </w:r>
      <w:r w:rsidRPr="004415B7" w:rsidR="00A754A8">
        <w:t>182.899</w:t>
      </w:r>
      <w:r w:rsidRPr="004415B7" w:rsidR="00477C55">
        <w:t>m</w:t>
      </w:r>
      <w:r w:rsidRPr="004415B7" w:rsidR="00ED3180">
        <w:t>.</w:t>
      </w:r>
      <w:r w:rsidRPr="004415B7" w:rsidR="00477C55">
        <w:t xml:space="preserve"> </w:t>
      </w:r>
    </w:p>
    <w:p w:rsidRPr="004415B7" w:rsidR="005C14B2" w:rsidP="00132E27" w:rsidRDefault="00477C55" w14:paraId="226F2F11" w14:textId="0947DDCC">
      <w:pPr>
        <w:ind w:left="851"/>
      </w:pPr>
      <w:r w:rsidRPr="004415B7">
        <w:t xml:space="preserve">The </w:t>
      </w:r>
      <w:r w:rsidRPr="004415B7" w:rsidR="000A38A2">
        <w:t>202</w:t>
      </w:r>
      <w:r w:rsidRPr="004415B7" w:rsidR="00132E27">
        <w:t>5</w:t>
      </w:r>
      <w:r w:rsidRPr="004415B7" w:rsidR="000A38A2">
        <w:t>/2</w:t>
      </w:r>
      <w:r w:rsidRPr="004415B7" w:rsidR="00132E27">
        <w:t>6</w:t>
      </w:r>
      <w:r w:rsidRPr="004415B7">
        <w:t xml:space="preserve"> forecast outturn </w:t>
      </w:r>
      <w:r w:rsidRPr="004415B7" w:rsidR="00881AD6">
        <w:t>at Q2 is £180.947m</w:t>
      </w:r>
      <w:r w:rsidRPr="004415B7" w:rsidR="0041511F">
        <w:t xml:space="preserve"> which is indicating minimal slippage </w:t>
      </w:r>
      <w:r w:rsidRPr="004415B7" w:rsidR="000D73B3">
        <w:t>of £1.9</w:t>
      </w:r>
      <w:r w:rsidRPr="004415B7" w:rsidR="00842D70">
        <w:t>52</w:t>
      </w:r>
      <w:r w:rsidRPr="004415B7" w:rsidR="000D73B3">
        <w:t>m</w:t>
      </w:r>
      <w:r w:rsidRPr="004415B7" w:rsidR="00483EC1">
        <w:t xml:space="preserve"> </w:t>
      </w:r>
      <w:r w:rsidRPr="004415B7" w:rsidR="00842D70">
        <w:t xml:space="preserve">(1%) </w:t>
      </w:r>
      <w:r w:rsidRPr="004415B7" w:rsidR="00483EC1">
        <w:t>compared</w:t>
      </w:r>
      <w:r w:rsidRPr="004415B7" w:rsidR="001A76FE">
        <w:t xml:space="preserve"> to th</w:t>
      </w:r>
      <w:r w:rsidRPr="004415B7" w:rsidR="00DA2315">
        <w:t>e</w:t>
      </w:r>
      <w:r w:rsidRPr="004415B7" w:rsidR="001A76FE">
        <w:t xml:space="preserve"> revised latest budget</w:t>
      </w:r>
      <w:r w:rsidRPr="004415B7" w:rsidR="00D01880">
        <w:t xml:space="preserve"> </w:t>
      </w:r>
      <w:bookmarkStart w:name="_Hlk189433343" w:id="1"/>
    </w:p>
    <w:p w:rsidRPr="004415B7" w:rsidR="006B222F" w:rsidP="005C14B2" w:rsidRDefault="00D01880" w14:paraId="0537494B" w14:textId="38BBC68B">
      <w:pPr>
        <w:ind w:left="851"/>
      </w:pPr>
      <w:r w:rsidRPr="004415B7">
        <w:t xml:space="preserve">Further detail and analysis </w:t>
      </w:r>
      <w:r w:rsidRPr="004415B7" w:rsidR="000E49D0">
        <w:t>are</w:t>
      </w:r>
      <w:r w:rsidRPr="004415B7">
        <w:t xml:space="preserve"> provided in paragraphs </w:t>
      </w:r>
      <w:r w:rsidRPr="004415B7" w:rsidR="00415FA3">
        <w:t>1</w:t>
      </w:r>
      <w:r w:rsidRPr="004415B7" w:rsidR="00595515">
        <w:t>2</w:t>
      </w:r>
      <w:r w:rsidRPr="004415B7">
        <w:t xml:space="preserve"> to </w:t>
      </w:r>
      <w:r w:rsidRPr="004415B7" w:rsidR="00415FA3">
        <w:t>1</w:t>
      </w:r>
      <w:r w:rsidRPr="004415B7" w:rsidR="00595515">
        <w:t>7</w:t>
      </w:r>
      <w:r w:rsidRPr="004415B7" w:rsidR="000E49D0">
        <w:t xml:space="preserve"> </w:t>
      </w:r>
      <w:r w:rsidR="00B63346">
        <w:t xml:space="preserve">of this report </w:t>
      </w:r>
      <w:r w:rsidRPr="004415B7" w:rsidR="000E49D0">
        <w:t xml:space="preserve">and </w:t>
      </w:r>
      <w:r w:rsidRPr="004415B7" w:rsidR="00861CB6">
        <w:t xml:space="preserve">in </w:t>
      </w:r>
      <w:r w:rsidRPr="004415B7" w:rsidR="000E49D0">
        <w:t>Appendix C</w:t>
      </w:r>
      <w:r w:rsidRPr="004415B7">
        <w:t>.</w:t>
      </w:r>
    </w:p>
    <w:bookmarkEnd w:id="1"/>
    <w:p w:rsidRPr="004415B7" w:rsidR="009C1C62" w:rsidP="00C25E6D" w:rsidRDefault="006C483B" w14:paraId="1B01C802" w14:textId="70F1A236">
      <w:pPr>
        <w:pStyle w:val="ListParagraph"/>
        <w:numPr>
          <w:ilvl w:val="0"/>
          <w:numId w:val="5"/>
        </w:numPr>
      </w:pPr>
      <w:r w:rsidRPr="004415B7">
        <w:rPr>
          <w:b/>
          <w:bCs/>
        </w:rPr>
        <w:t xml:space="preserve">Corporate </w:t>
      </w:r>
      <w:r w:rsidRPr="004415B7" w:rsidR="00C2674F">
        <w:rPr>
          <w:b/>
          <w:bCs/>
        </w:rPr>
        <w:t>Risk Management</w:t>
      </w:r>
      <w:r w:rsidRPr="004415B7" w:rsidR="00650642">
        <w:rPr>
          <w:b/>
          <w:bCs/>
        </w:rPr>
        <w:t xml:space="preserve"> </w:t>
      </w:r>
      <w:r w:rsidRPr="004415B7" w:rsidR="00650642">
        <w:t xml:space="preserve">– </w:t>
      </w:r>
      <w:r w:rsidRPr="004415B7" w:rsidR="009B78A1">
        <w:t xml:space="preserve">At </w:t>
      </w:r>
      <w:r w:rsidRPr="004415B7" w:rsidR="00EA6084">
        <w:t xml:space="preserve">the end of </w:t>
      </w:r>
      <w:r w:rsidRPr="004415B7" w:rsidR="00BC47BE">
        <w:t>Q</w:t>
      </w:r>
      <w:r w:rsidRPr="004415B7" w:rsidR="007F6A40">
        <w:t>2</w:t>
      </w:r>
      <w:r w:rsidRPr="004415B7" w:rsidR="00EA6084">
        <w:t xml:space="preserve"> 20</w:t>
      </w:r>
      <w:r w:rsidRPr="004415B7" w:rsidR="009B78A1">
        <w:t>2</w:t>
      </w:r>
      <w:r w:rsidRPr="004415B7" w:rsidR="00041BBB">
        <w:t>5</w:t>
      </w:r>
      <w:r w:rsidRPr="004415B7" w:rsidR="009B78A1">
        <w:t>/2</w:t>
      </w:r>
      <w:r w:rsidRPr="004415B7" w:rsidR="00041BBB">
        <w:t>6</w:t>
      </w:r>
      <w:r w:rsidRPr="004415B7" w:rsidR="009B78A1">
        <w:t xml:space="preserve"> in the latest update to the current Corporate Risk Register there are 1</w:t>
      </w:r>
      <w:r w:rsidRPr="004415B7" w:rsidR="00463CC8">
        <w:t>4</w:t>
      </w:r>
      <w:r w:rsidRPr="004415B7" w:rsidR="009B78A1">
        <w:t xml:space="preserve"> risks registered, </w:t>
      </w:r>
      <w:r w:rsidRPr="004415B7" w:rsidR="007C3227">
        <w:t xml:space="preserve">of which </w:t>
      </w:r>
      <w:r w:rsidRPr="004415B7" w:rsidR="007E4A25">
        <w:t>six</w:t>
      </w:r>
      <w:r w:rsidRPr="004415B7" w:rsidR="007C3227">
        <w:t xml:space="preserve"> are red risks</w:t>
      </w:r>
      <w:r w:rsidRPr="004415B7" w:rsidR="00551361">
        <w:t>,</w:t>
      </w:r>
      <w:r w:rsidRPr="004415B7" w:rsidR="007C2860">
        <w:t xml:space="preserve"> </w:t>
      </w:r>
      <w:r w:rsidRPr="004415B7" w:rsidR="007E4A25">
        <w:t>eight</w:t>
      </w:r>
      <w:r w:rsidRPr="004415B7" w:rsidR="007C2860">
        <w:t xml:space="preserve"> are amber risks</w:t>
      </w:r>
      <w:r w:rsidR="004D2BC5">
        <w:t>. Th</w:t>
      </w:r>
      <w:r w:rsidRPr="004415B7" w:rsidR="00551361">
        <w:t>ere are no new risks and no closed risks</w:t>
      </w:r>
      <w:r w:rsidRPr="004415B7" w:rsidR="00F04AF4">
        <w:t xml:space="preserve">. </w:t>
      </w:r>
      <w:r w:rsidRPr="004415B7" w:rsidR="00515AAC">
        <w:t>Overall</w:t>
      </w:r>
      <w:r w:rsidRPr="004415B7" w:rsidR="007E4A25">
        <w:t>,</w:t>
      </w:r>
      <w:r w:rsidRPr="004415B7" w:rsidR="008A4121">
        <w:t xml:space="preserve"> whilst there</w:t>
      </w:r>
      <w:r w:rsidRPr="004415B7" w:rsidR="00515AAC">
        <w:t xml:space="preserve"> is no change in the total number of each category of risk </w:t>
      </w:r>
      <w:r w:rsidRPr="004415B7" w:rsidR="00551361">
        <w:t>from Q1</w:t>
      </w:r>
      <w:r w:rsidRPr="004415B7" w:rsidR="008A4121">
        <w:t>,</w:t>
      </w:r>
      <w:r w:rsidRPr="004415B7" w:rsidR="00551361">
        <w:t xml:space="preserve"> </w:t>
      </w:r>
      <w:r w:rsidRPr="004415B7" w:rsidR="00AD0B26">
        <w:t xml:space="preserve">within these figures </w:t>
      </w:r>
      <w:r w:rsidRPr="004415B7" w:rsidR="007C2860">
        <w:t>there is a change in classification of two corporate risks:</w:t>
      </w:r>
      <w:r w:rsidRPr="004415B7" w:rsidR="00C25E6D">
        <w:t xml:space="preserve"> </w:t>
      </w:r>
    </w:p>
    <w:p w:rsidRPr="004415B7" w:rsidR="00CF60CE" w:rsidP="00CF60CE" w:rsidRDefault="00C25E6D" w14:paraId="27549032" w14:textId="77777777">
      <w:pPr>
        <w:pStyle w:val="ListParagraph"/>
        <w:numPr>
          <w:ilvl w:val="0"/>
          <w:numId w:val="18"/>
        </w:numPr>
        <w:ind w:left="1134"/>
      </w:pPr>
      <w:r w:rsidRPr="004415B7">
        <w:t>Flood – this risk has been reclassified from a red risk in 1Q to an amber risk in 2Q</w:t>
      </w:r>
    </w:p>
    <w:p w:rsidRPr="004415B7" w:rsidR="00C25E6D" w:rsidP="00CF60CE" w:rsidRDefault="00C25E6D" w14:paraId="20126248" w14:textId="23563BD7">
      <w:pPr>
        <w:pStyle w:val="ListParagraph"/>
        <w:numPr>
          <w:ilvl w:val="0"/>
          <w:numId w:val="18"/>
        </w:numPr>
        <w:ind w:left="1134"/>
      </w:pPr>
      <w:r w:rsidRPr="004415B7">
        <w:t xml:space="preserve">A failure to meet Social Housing (Regulation) Act </w:t>
      </w:r>
      <w:r w:rsidR="004D2BC5">
        <w:t xml:space="preserve">2023 </w:t>
      </w:r>
      <w:r w:rsidRPr="004415B7">
        <w:t>customer/consumer standards – this risk has been reclassified from an amber risk in 1Q to a red risk in 2Q</w:t>
      </w:r>
    </w:p>
    <w:p w:rsidRPr="004415B7" w:rsidR="00486F8E" w:rsidP="51BEE4ED" w:rsidRDefault="00BB420C" w14:paraId="411F722C" w14:textId="28E00969">
      <w:pPr>
        <w:spacing w:after="0"/>
        <w:ind w:left="851"/>
      </w:pPr>
      <w:r w:rsidRPr="004415B7">
        <w:t>M</w:t>
      </w:r>
      <w:r w:rsidRPr="004415B7" w:rsidR="0013140F">
        <w:t xml:space="preserve">ore details </w:t>
      </w:r>
      <w:r w:rsidRPr="004415B7" w:rsidR="00177808">
        <w:t xml:space="preserve">on </w:t>
      </w:r>
      <w:r w:rsidRPr="004415B7" w:rsidR="009B78A1">
        <w:t xml:space="preserve">the </w:t>
      </w:r>
      <w:r w:rsidRPr="004415B7" w:rsidR="00463CC8">
        <w:t xml:space="preserve">Council’s </w:t>
      </w:r>
      <w:r w:rsidRPr="004415B7" w:rsidR="00E25AD1">
        <w:t xml:space="preserve">corporate and service </w:t>
      </w:r>
      <w:r w:rsidRPr="004415B7" w:rsidR="009B78A1">
        <w:t xml:space="preserve">risks </w:t>
      </w:r>
      <w:r w:rsidRPr="004415B7" w:rsidR="0013140F">
        <w:t xml:space="preserve">can be found </w:t>
      </w:r>
      <w:r w:rsidRPr="004415B7" w:rsidR="008530EB">
        <w:t>in paragraph</w:t>
      </w:r>
      <w:r w:rsidRPr="004415B7" w:rsidR="00132A6F">
        <w:t>s</w:t>
      </w:r>
      <w:r w:rsidRPr="004415B7" w:rsidR="008530EB">
        <w:t xml:space="preserve"> </w:t>
      </w:r>
      <w:r w:rsidRPr="004415B7" w:rsidR="00415FA3">
        <w:t>1</w:t>
      </w:r>
      <w:r w:rsidRPr="004415B7" w:rsidR="00711F16">
        <w:t>8</w:t>
      </w:r>
      <w:r w:rsidRPr="004415B7" w:rsidR="00132A6F">
        <w:t xml:space="preserve"> to </w:t>
      </w:r>
      <w:r w:rsidRPr="004415B7" w:rsidR="00415FA3">
        <w:t>2</w:t>
      </w:r>
      <w:r w:rsidRPr="004415B7" w:rsidR="00711F16">
        <w:t>3</w:t>
      </w:r>
      <w:r w:rsidR="0076787C">
        <w:t xml:space="preserve"> of this report</w:t>
      </w:r>
      <w:r w:rsidRPr="004415B7" w:rsidR="00203B41">
        <w:t>.</w:t>
      </w:r>
    </w:p>
    <w:p w:rsidR="00F12C5F" w:rsidRDefault="00F12C5F" w14:paraId="0A47EA76" w14:textId="77777777">
      <w:pPr>
        <w:spacing w:after="0"/>
        <w:rPr>
          <w:b/>
          <w:bCs/>
          <w:color w:val="auto"/>
        </w:rPr>
      </w:pPr>
      <w:r>
        <w:rPr>
          <w:b/>
          <w:bCs/>
          <w:color w:val="auto"/>
        </w:rPr>
        <w:br w:type="page"/>
      </w:r>
    </w:p>
    <w:p w:rsidRPr="004415B7" w:rsidR="006C483B" w:rsidP="00861CB6" w:rsidRDefault="006C483B" w14:paraId="0AECFEE3" w14:textId="61941DCB">
      <w:pPr>
        <w:spacing w:after="0"/>
        <w:rPr>
          <w:b/>
          <w:bCs/>
          <w:color w:val="auto"/>
        </w:rPr>
      </w:pPr>
      <w:r w:rsidRPr="004415B7">
        <w:rPr>
          <w:b/>
          <w:bCs/>
          <w:color w:val="auto"/>
        </w:rPr>
        <w:lastRenderedPageBreak/>
        <w:t>Financial Position</w:t>
      </w:r>
      <w:r w:rsidRPr="004415B7" w:rsidR="7F76ECE6">
        <w:rPr>
          <w:b/>
          <w:bCs/>
          <w:color w:val="auto"/>
        </w:rPr>
        <w:t xml:space="preserve"> Detailed Analysis</w:t>
      </w:r>
    </w:p>
    <w:p w:rsidRPr="004415B7" w:rsidR="00536A53" w:rsidP="00D45DF3" w:rsidRDefault="43B3B428" w14:paraId="40FAF4CD" w14:textId="77777777">
      <w:pPr>
        <w:pStyle w:val="Heading1"/>
        <w:rPr>
          <w:color w:val="auto"/>
        </w:rPr>
      </w:pPr>
      <w:r w:rsidRPr="004415B7">
        <w:rPr>
          <w:color w:val="auto"/>
        </w:rPr>
        <w:t>General Fund Revenue</w:t>
      </w:r>
    </w:p>
    <w:p w:rsidRPr="004415B7" w:rsidR="00C41ADA" w:rsidP="00D45DF3" w:rsidRDefault="1EF22EA6" w14:paraId="768E27FF" w14:textId="234B9609">
      <w:pPr>
        <w:pStyle w:val="ListParagraph"/>
        <w:numPr>
          <w:ilvl w:val="0"/>
          <w:numId w:val="5"/>
        </w:numPr>
        <w:tabs>
          <w:tab w:val="clear" w:pos="426"/>
        </w:tabs>
        <w:ind w:left="851" w:hanging="567"/>
      </w:pPr>
      <w:r w:rsidRPr="004415B7">
        <w:t xml:space="preserve">The </w:t>
      </w:r>
      <w:r w:rsidRPr="004415B7" w:rsidR="13BAFF69">
        <w:t xml:space="preserve">overall </w:t>
      </w:r>
      <w:r w:rsidRPr="004415B7" w:rsidR="008F0ADE">
        <w:t>N</w:t>
      </w:r>
      <w:r w:rsidRPr="004415B7" w:rsidR="3DFB6C05">
        <w:t>et</w:t>
      </w:r>
      <w:r w:rsidRPr="004415B7" w:rsidR="610A0199">
        <w:t xml:space="preserve"> </w:t>
      </w:r>
      <w:r w:rsidRPr="004415B7" w:rsidR="2F8A73AF">
        <w:t>B</w:t>
      </w:r>
      <w:r w:rsidRPr="004415B7" w:rsidR="13BAFF69">
        <w:t xml:space="preserve">udget </w:t>
      </w:r>
      <w:r w:rsidRPr="004415B7" w:rsidR="008F0ADE">
        <w:t xml:space="preserve">Requirement </w:t>
      </w:r>
      <w:r w:rsidRPr="004415B7" w:rsidR="00423EAB">
        <w:t xml:space="preserve">for </w:t>
      </w:r>
      <w:r w:rsidRPr="004415B7" w:rsidR="000A38A2">
        <w:t>202</w:t>
      </w:r>
      <w:r w:rsidRPr="004415B7" w:rsidR="00A67AD1">
        <w:t>5</w:t>
      </w:r>
      <w:r w:rsidRPr="004415B7" w:rsidR="000A38A2">
        <w:t>/2</w:t>
      </w:r>
      <w:r w:rsidRPr="004415B7" w:rsidR="00A67AD1">
        <w:t>6</w:t>
      </w:r>
      <w:r w:rsidRPr="004415B7" w:rsidR="00423EAB">
        <w:t xml:space="preserve"> </w:t>
      </w:r>
      <w:r w:rsidRPr="004415B7" w:rsidR="7CA8868B">
        <w:t>a</w:t>
      </w:r>
      <w:r w:rsidRPr="004415B7" w:rsidR="21EC3946">
        <w:t>greed by the</w:t>
      </w:r>
      <w:r w:rsidRPr="004415B7" w:rsidR="0B207DA2">
        <w:t xml:space="preserve"> Council in February 202</w:t>
      </w:r>
      <w:r w:rsidRPr="004415B7" w:rsidR="00A67AD1">
        <w:t>5</w:t>
      </w:r>
      <w:r w:rsidRPr="004415B7" w:rsidR="13BAFF69">
        <w:t xml:space="preserve"> was £</w:t>
      </w:r>
      <w:r w:rsidRPr="004415B7" w:rsidR="00A67AD1">
        <w:t>30.25m</w:t>
      </w:r>
      <w:r w:rsidRPr="004415B7" w:rsidR="2E360C37">
        <w:t xml:space="preserve"> after a £</w:t>
      </w:r>
      <w:r w:rsidRPr="004415B7" w:rsidR="00A67AD1">
        <w:t>3.38m</w:t>
      </w:r>
      <w:r w:rsidRPr="004415B7" w:rsidR="2E360C37">
        <w:t xml:space="preserve"> transfer </w:t>
      </w:r>
      <w:r w:rsidRPr="004415B7" w:rsidR="00490593">
        <w:t>to</w:t>
      </w:r>
      <w:r w:rsidRPr="004415B7" w:rsidR="2E360C37">
        <w:t xml:space="preserve"> </w:t>
      </w:r>
      <w:r w:rsidRPr="004415B7" w:rsidR="53BC0759">
        <w:t xml:space="preserve">general </w:t>
      </w:r>
      <w:r w:rsidRPr="004415B7" w:rsidR="2E360C37">
        <w:t>reserve</w:t>
      </w:r>
      <w:r w:rsidRPr="004415B7" w:rsidR="7299EEBF">
        <w:t>s</w:t>
      </w:r>
      <w:r w:rsidRPr="004415B7" w:rsidR="40B0E61B">
        <w:t>.</w:t>
      </w:r>
    </w:p>
    <w:p w:rsidRPr="004415B7" w:rsidR="00591AF7" w:rsidP="00B47B2D" w:rsidRDefault="003851F3" w14:paraId="3C2483E5" w14:textId="48F790E2">
      <w:pPr>
        <w:pStyle w:val="ListParagraph"/>
        <w:numPr>
          <w:ilvl w:val="0"/>
          <w:numId w:val="5"/>
        </w:numPr>
        <w:tabs>
          <w:tab w:val="clear" w:pos="426"/>
        </w:tabs>
        <w:ind w:left="851" w:hanging="567"/>
      </w:pPr>
      <w:r w:rsidRPr="004415B7">
        <w:t xml:space="preserve">Following </w:t>
      </w:r>
      <w:r w:rsidRPr="004415B7" w:rsidR="00490593">
        <w:t xml:space="preserve">budget virements </w:t>
      </w:r>
      <w:r w:rsidRPr="004415B7">
        <w:t xml:space="preserve">and the release of the central pay contingency </w:t>
      </w:r>
      <w:r w:rsidRPr="004415B7" w:rsidR="00490593">
        <w:t xml:space="preserve">between </w:t>
      </w:r>
      <w:r w:rsidRPr="004415B7" w:rsidR="00B47B2D">
        <w:t xml:space="preserve">directorate budgets and earmarked reserves in 1Q, the 2025/26 </w:t>
      </w:r>
      <w:r w:rsidR="00205728">
        <w:t>l</w:t>
      </w:r>
      <w:r w:rsidRPr="004415B7" w:rsidR="00B47B2D">
        <w:t xml:space="preserve">atest </w:t>
      </w:r>
      <w:r w:rsidR="00205728">
        <w:t>b</w:t>
      </w:r>
      <w:r w:rsidRPr="004415B7" w:rsidR="00B47B2D">
        <w:t xml:space="preserve">udget remains in balance. </w:t>
      </w:r>
    </w:p>
    <w:p w:rsidRPr="004415B7" w:rsidR="00490593" w:rsidP="00B47B2D" w:rsidRDefault="00B47B2D" w14:paraId="5DF0FA82" w14:textId="6CA1ED33">
      <w:pPr>
        <w:pStyle w:val="ListParagraph"/>
        <w:numPr>
          <w:ilvl w:val="0"/>
          <w:numId w:val="5"/>
        </w:numPr>
        <w:tabs>
          <w:tab w:val="clear" w:pos="426"/>
        </w:tabs>
        <w:ind w:left="851" w:hanging="567"/>
      </w:pPr>
      <w:r w:rsidRPr="004415B7">
        <w:t xml:space="preserve">At </w:t>
      </w:r>
      <w:r w:rsidRPr="004415B7" w:rsidR="0005343F">
        <w:t>2Q</w:t>
      </w:r>
      <w:r w:rsidRPr="004415B7" w:rsidR="00490593">
        <w:t xml:space="preserve"> there is </w:t>
      </w:r>
      <w:r w:rsidRPr="004415B7" w:rsidR="00CC7CE1">
        <w:t xml:space="preserve">an adverse </w:t>
      </w:r>
      <w:r w:rsidRPr="004415B7" w:rsidR="00490593">
        <w:t xml:space="preserve">projected 2025/26 outturn </w:t>
      </w:r>
      <w:r w:rsidRPr="004415B7" w:rsidR="00CC7CE1">
        <w:t xml:space="preserve">variance of </w:t>
      </w:r>
      <w:r w:rsidRPr="00F45D6F" w:rsidR="00CC7CE1">
        <w:t>£</w:t>
      </w:r>
      <w:r w:rsidRPr="00F45D6F" w:rsidR="00F6706F">
        <w:t>0.641</w:t>
      </w:r>
      <w:r w:rsidRPr="00F45D6F" w:rsidR="008C37B3">
        <w:t>m</w:t>
      </w:r>
      <w:r w:rsidRPr="004415B7" w:rsidR="00CC7CE1">
        <w:t xml:space="preserve"> </w:t>
      </w:r>
      <w:r w:rsidRPr="004415B7" w:rsidR="00D61122">
        <w:t>compared to</w:t>
      </w:r>
      <w:r w:rsidRPr="004415B7" w:rsidR="00490593">
        <w:t xml:space="preserve"> the 2025/26 </w:t>
      </w:r>
      <w:r w:rsidR="00205728">
        <w:t>l</w:t>
      </w:r>
      <w:r w:rsidRPr="004415B7" w:rsidR="00490593">
        <w:t xml:space="preserve">atest </w:t>
      </w:r>
      <w:r w:rsidR="00205728">
        <w:t>b</w:t>
      </w:r>
      <w:r w:rsidRPr="004415B7" w:rsidR="00490593">
        <w:t>udget.</w:t>
      </w:r>
    </w:p>
    <w:p w:rsidRPr="004415B7" w:rsidR="005B62E5" w:rsidP="00591AF7" w:rsidRDefault="00BE7587" w14:paraId="08E3A1E6" w14:textId="1F6D340E">
      <w:pPr>
        <w:pStyle w:val="ListParagraph"/>
        <w:ind w:left="851"/>
      </w:pPr>
      <w:r w:rsidRPr="004415B7">
        <w:t xml:space="preserve">This most significant </w:t>
      </w:r>
      <w:r w:rsidRPr="004415B7" w:rsidR="003F688D">
        <w:t>variances, by service area, are</w:t>
      </w:r>
      <w:r w:rsidRPr="004415B7" w:rsidR="00B7385B">
        <w:t xml:space="preserve"> attributed to:</w:t>
      </w:r>
    </w:p>
    <w:p w:rsidRPr="004415B7" w:rsidR="003A214D" w:rsidP="00F87769" w:rsidRDefault="003A214D" w14:paraId="4CD83616" w14:textId="3EE6C3E3">
      <w:pPr>
        <w:ind w:left="851"/>
        <w:rPr>
          <w:color w:val="000000" w:themeColor="text1"/>
        </w:rPr>
      </w:pPr>
      <w:r w:rsidRPr="004415B7">
        <w:rPr>
          <w:b/>
          <w:bCs/>
          <w:color w:val="000000" w:themeColor="text1"/>
          <w:u w:val="single"/>
        </w:rPr>
        <w:t>Information &amp; Technology</w:t>
      </w:r>
      <w:r w:rsidRPr="004415B7">
        <w:rPr>
          <w:color w:val="000000" w:themeColor="text1"/>
        </w:rPr>
        <w:t xml:space="preserve"> </w:t>
      </w:r>
      <w:r w:rsidRPr="004415B7" w:rsidR="000E7100">
        <w:rPr>
          <w:color w:val="000000" w:themeColor="text1"/>
        </w:rPr>
        <w:t>–</w:t>
      </w:r>
      <w:r w:rsidRPr="004415B7">
        <w:rPr>
          <w:color w:val="000000" w:themeColor="text1"/>
        </w:rPr>
        <w:t xml:space="preserve"> </w:t>
      </w:r>
      <w:r w:rsidRPr="004415B7" w:rsidR="000E7100">
        <w:rPr>
          <w:color w:val="000000" w:themeColor="text1"/>
        </w:rPr>
        <w:t>the adverse p</w:t>
      </w:r>
      <w:r w:rsidRPr="004415B7" w:rsidR="00835201">
        <w:rPr>
          <w:color w:val="000000" w:themeColor="text1"/>
        </w:rPr>
        <w:t xml:space="preserve">rojected outturn </w:t>
      </w:r>
      <w:r w:rsidRPr="004415B7" w:rsidR="000E7100">
        <w:rPr>
          <w:color w:val="000000" w:themeColor="text1"/>
        </w:rPr>
        <w:t>of £0.</w:t>
      </w:r>
      <w:r w:rsidRPr="51BEE4ED" w:rsidR="6408F294">
        <w:rPr>
          <w:color w:val="000000" w:themeColor="text1"/>
        </w:rPr>
        <w:t>7</w:t>
      </w:r>
      <w:r w:rsidRPr="51BEE4ED" w:rsidR="000E7100">
        <w:rPr>
          <w:color w:val="000000" w:themeColor="text1"/>
        </w:rPr>
        <w:t>m</w:t>
      </w:r>
      <w:r w:rsidRPr="004415B7" w:rsidR="000E7100">
        <w:rPr>
          <w:color w:val="000000" w:themeColor="text1"/>
        </w:rPr>
        <w:t xml:space="preserve"> </w:t>
      </w:r>
      <w:r w:rsidRPr="004415B7" w:rsidR="00835201">
        <w:rPr>
          <w:color w:val="000000" w:themeColor="text1"/>
        </w:rPr>
        <w:t xml:space="preserve">assumes </w:t>
      </w:r>
      <w:r w:rsidR="008B706E">
        <w:rPr>
          <w:color w:val="000000" w:themeColor="text1"/>
        </w:rPr>
        <w:t>c</w:t>
      </w:r>
      <w:r w:rsidRPr="004415B7" w:rsidR="00835201">
        <w:rPr>
          <w:color w:val="000000" w:themeColor="text1"/>
        </w:rPr>
        <w:t xml:space="preserve">yber </w:t>
      </w:r>
      <w:r w:rsidR="008B706E">
        <w:rPr>
          <w:color w:val="000000" w:themeColor="text1"/>
        </w:rPr>
        <w:t>i</w:t>
      </w:r>
      <w:r w:rsidRPr="004415B7" w:rsidR="00835201">
        <w:rPr>
          <w:color w:val="000000" w:themeColor="text1"/>
        </w:rPr>
        <w:t xml:space="preserve">ncident </w:t>
      </w:r>
      <w:r w:rsidR="008B706E">
        <w:rPr>
          <w:color w:val="000000" w:themeColor="text1"/>
        </w:rPr>
        <w:t>r</w:t>
      </w:r>
      <w:r w:rsidRPr="004415B7" w:rsidR="00835201">
        <w:rPr>
          <w:color w:val="000000" w:themeColor="text1"/>
        </w:rPr>
        <w:t>esponse costs to total circa £</w:t>
      </w:r>
      <w:r w:rsidR="0094166B">
        <w:rPr>
          <w:color w:val="000000" w:themeColor="text1"/>
        </w:rPr>
        <w:t>0.5m</w:t>
      </w:r>
      <w:r w:rsidRPr="004415B7" w:rsidR="00F07164">
        <w:rPr>
          <w:color w:val="000000" w:themeColor="text1"/>
        </w:rPr>
        <w:t xml:space="preserve"> in </w:t>
      </w:r>
      <w:r w:rsidR="008B706E">
        <w:rPr>
          <w:color w:val="000000" w:themeColor="text1"/>
        </w:rPr>
        <w:t xml:space="preserve">the current financial </w:t>
      </w:r>
      <w:r w:rsidRPr="004415B7" w:rsidR="00F07164">
        <w:rPr>
          <w:color w:val="000000" w:themeColor="text1"/>
        </w:rPr>
        <w:t>year</w:t>
      </w:r>
      <w:r w:rsidRPr="004415B7" w:rsidR="00835201">
        <w:rPr>
          <w:color w:val="000000" w:themeColor="text1"/>
        </w:rPr>
        <w:t>. Mitigation of ongoing cost overruns</w:t>
      </w:r>
      <w:r w:rsidRPr="004415B7" w:rsidR="00916271">
        <w:rPr>
          <w:color w:val="000000" w:themeColor="text1"/>
        </w:rPr>
        <w:t>, e.g. dual running telephony services</w:t>
      </w:r>
      <w:r w:rsidR="00CA29DB">
        <w:rPr>
          <w:color w:val="000000" w:themeColor="text1"/>
        </w:rPr>
        <w:t xml:space="preserve"> contracts</w:t>
      </w:r>
      <w:r w:rsidR="007C2FE2">
        <w:rPr>
          <w:color w:val="000000" w:themeColor="text1"/>
        </w:rPr>
        <w:t xml:space="preserve">, </w:t>
      </w:r>
      <w:r w:rsidRPr="004415B7" w:rsidR="003C45DF">
        <w:rPr>
          <w:color w:val="000000" w:themeColor="text1"/>
        </w:rPr>
        <w:t xml:space="preserve">will be </w:t>
      </w:r>
      <w:r w:rsidRPr="004415B7" w:rsidR="00835201">
        <w:rPr>
          <w:color w:val="000000" w:themeColor="text1"/>
        </w:rPr>
        <w:t xml:space="preserve">dependent on </w:t>
      </w:r>
      <w:r w:rsidRPr="004415B7" w:rsidR="003C45DF">
        <w:rPr>
          <w:color w:val="000000" w:themeColor="text1"/>
        </w:rPr>
        <w:t xml:space="preserve">the </w:t>
      </w:r>
      <w:r w:rsidRPr="004415B7" w:rsidR="00835201">
        <w:rPr>
          <w:color w:val="000000" w:themeColor="text1"/>
        </w:rPr>
        <w:t>ability to capitalise ICT staffing costs</w:t>
      </w:r>
      <w:r w:rsidRPr="004415B7" w:rsidR="00A323CD">
        <w:rPr>
          <w:color w:val="000000" w:themeColor="text1"/>
        </w:rPr>
        <w:t xml:space="preserve"> to budgeted ICT capital projects</w:t>
      </w:r>
      <w:r w:rsidR="00D92843">
        <w:rPr>
          <w:color w:val="000000" w:themeColor="text1"/>
        </w:rPr>
        <w:t>;</w:t>
      </w:r>
      <w:r w:rsidRPr="004415B7" w:rsidR="00835201">
        <w:rPr>
          <w:color w:val="000000" w:themeColor="text1"/>
        </w:rPr>
        <w:t xml:space="preserve"> </w:t>
      </w:r>
      <w:r w:rsidRPr="51BEE4ED" w:rsidR="6F1914C2">
        <w:rPr>
          <w:color w:val="000000" w:themeColor="text1"/>
        </w:rPr>
        <w:t>£</w:t>
      </w:r>
      <w:r w:rsidR="008E2CB8">
        <w:rPr>
          <w:color w:val="000000" w:themeColor="text1"/>
        </w:rPr>
        <w:t>0.</w:t>
      </w:r>
      <w:r w:rsidRPr="51BEE4ED" w:rsidR="6F1914C2">
        <w:rPr>
          <w:color w:val="000000" w:themeColor="text1"/>
        </w:rPr>
        <w:t>562</w:t>
      </w:r>
      <w:r w:rsidR="008E2CB8">
        <w:rPr>
          <w:color w:val="000000" w:themeColor="text1"/>
        </w:rPr>
        <w:t>m</w:t>
      </w:r>
      <w:r w:rsidRPr="51BEE4ED" w:rsidR="6F1914C2">
        <w:rPr>
          <w:color w:val="000000" w:themeColor="text1"/>
        </w:rPr>
        <w:t xml:space="preserve"> having been </w:t>
      </w:r>
      <w:r w:rsidRPr="51BEE4ED" w:rsidR="00D92843">
        <w:rPr>
          <w:color w:val="000000" w:themeColor="text1"/>
        </w:rPr>
        <w:t>capitalised</w:t>
      </w:r>
      <w:r w:rsidRPr="51BEE4ED" w:rsidR="6F1914C2">
        <w:rPr>
          <w:color w:val="000000" w:themeColor="text1"/>
        </w:rPr>
        <w:t xml:space="preserve"> in the first half of the year</w:t>
      </w:r>
      <w:r w:rsidR="00D92843">
        <w:rPr>
          <w:color w:val="000000" w:themeColor="text1"/>
        </w:rPr>
        <w:t>.</w:t>
      </w:r>
    </w:p>
    <w:p w:rsidRPr="004415B7" w:rsidR="007B190D" w:rsidP="00766982" w:rsidRDefault="00B60A9C" w14:paraId="786CD175" w14:textId="62F6D393">
      <w:pPr>
        <w:pStyle w:val="Bulletpoints"/>
        <w:numPr>
          <w:ilvl w:val="0"/>
          <w:numId w:val="0"/>
        </w:numPr>
        <w:ind w:left="810"/>
        <w:rPr>
          <w:b/>
          <w:bCs/>
          <w:u w:val="single"/>
        </w:rPr>
      </w:pPr>
      <w:r w:rsidRPr="004415B7">
        <w:rPr>
          <w:b/>
          <w:bCs/>
          <w:u w:val="single"/>
        </w:rPr>
        <w:t>Planning &amp; Regulatory</w:t>
      </w:r>
      <w:r w:rsidRPr="004415B7">
        <w:t xml:space="preserve"> </w:t>
      </w:r>
      <w:r w:rsidRPr="004415B7" w:rsidR="00084AD0">
        <w:t>–</w:t>
      </w:r>
      <w:r w:rsidRPr="004415B7">
        <w:t xml:space="preserve"> </w:t>
      </w:r>
      <w:r w:rsidRPr="004415B7" w:rsidR="00335063">
        <w:t xml:space="preserve">the projected adverse </w:t>
      </w:r>
      <w:r w:rsidRPr="004415B7" w:rsidR="001E21EB">
        <w:t>outturn variance of £0.</w:t>
      </w:r>
      <w:r w:rsidRPr="004415B7" w:rsidR="007D4EE9">
        <w:t>1</w:t>
      </w:r>
      <w:r w:rsidRPr="004415B7" w:rsidR="001E21EB">
        <w:t>2</w:t>
      </w:r>
      <w:r w:rsidRPr="004415B7" w:rsidR="007D4EE9">
        <w:t>5</w:t>
      </w:r>
      <w:r w:rsidRPr="004415B7" w:rsidR="001E21EB">
        <w:t xml:space="preserve">m </w:t>
      </w:r>
      <w:r w:rsidRPr="004415B7" w:rsidR="007B190D">
        <w:t>is due to</w:t>
      </w:r>
      <w:r w:rsidRPr="004415B7" w:rsidR="000E3427">
        <w:t xml:space="preserve"> a</w:t>
      </w:r>
      <w:r w:rsidRPr="004415B7" w:rsidR="007D2B26">
        <w:t xml:space="preserve"> forecast</w:t>
      </w:r>
      <w:r w:rsidRPr="004415B7" w:rsidR="000E3427">
        <w:t xml:space="preserve"> shortfall </w:t>
      </w:r>
      <w:r w:rsidRPr="004415B7" w:rsidR="00B42894">
        <w:t xml:space="preserve">of income </w:t>
      </w:r>
      <w:r w:rsidRPr="004415B7" w:rsidR="00B977D2">
        <w:t xml:space="preserve">across the service area </w:t>
      </w:r>
      <w:r w:rsidRPr="004415B7" w:rsidR="00B42894">
        <w:t>compared to budget</w:t>
      </w:r>
      <w:r w:rsidRPr="004415B7" w:rsidR="003E415C">
        <w:t xml:space="preserve"> </w:t>
      </w:r>
      <w:r w:rsidRPr="004415B7" w:rsidR="005E10AA">
        <w:t xml:space="preserve">which is </w:t>
      </w:r>
      <w:r w:rsidR="0A96BB18">
        <w:t xml:space="preserve">partially </w:t>
      </w:r>
      <w:r w:rsidRPr="004415B7" w:rsidR="003E415C">
        <w:t xml:space="preserve">offset by </w:t>
      </w:r>
      <w:r w:rsidRPr="004415B7" w:rsidR="00EF425E">
        <w:t>some salary savings</w:t>
      </w:r>
      <w:r w:rsidRPr="004415B7" w:rsidR="00EF425E">
        <w:rPr>
          <w:b/>
          <w:bCs/>
          <w:u w:val="single"/>
        </w:rPr>
        <w:t xml:space="preserve">  </w:t>
      </w:r>
    </w:p>
    <w:p w:rsidR="006E03AF" w:rsidP="00766982" w:rsidRDefault="00084AD0" w14:paraId="46824AB9" w14:textId="31E8E631">
      <w:pPr>
        <w:pStyle w:val="Bulletpoints"/>
        <w:numPr>
          <w:ilvl w:val="0"/>
          <w:numId w:val="0"/>
        </w:numPr>
        <w:ind w:left="810"/>
      </w:pPr>
      <w:r w:rsidRPr="51BEE4ED">
        <w:rPr>
          <w:b/>
          <w:bCs/>
          <w:u w:val="single"/>
        </w:rPr>
        <w:t xml:space="preserve">ODS </w:t>
      </w:r>
      <w:r w:rsidRPr="51BEE4ED" w:rsidR="4BB39FFA">
        <w:rPr>
          <w:b/>
          <w:bCs/>
          <w:u w:val="single"/>
        </w:rPr>
        <w:t xml:space="preserve">and </w:t>
      </w:r>
      <w:proofErr w:type="spellStart"/>
      <w:r w:rsidRPr="51BEE4ED" w:rsidR="4BB39FFA">
        <w:rPr>
          <w:b/>
          <w:bCs/>
          <w:u w:val="single"/>
        </w:rPr>
        <w:t>OXplace</w:t>
      </w:r>
      <w:proofErr w:type="spellEnd"/>
      <w:r w:rsidRPr="004415B7">
        <w:rPr>
          <w:b/>
          <w:bCs/>
          <w:u w:val="single"/>
        </w:rPr>
        <w:t xml:space="preserve"> Client </w:t>
      </w:r>
      <w:r w:rsidRPr="004415B7">
        <w:t xml:space="preserve">- </w:t>
      </w:r>
      <w:r w:rsidRPr="004415B7" w:rsidR="00405217">
        <w:t>a favourable outturn to budget of £</w:t>
      </w:r>
      <w:r w:rsidRPr="004415B7" w:rsidR="00922FB8">
        <w:t>1.0m</w:t>
      </w:r>
      <w:r w:rsidRPr="004415B7" w:rsidR="00405217">
        <w:t xml:space="preserve"> is projected</w:t>
      </w:r>
      <w:r w:rsidRPr="004415B7" w:rsidR="00922FB8">
        <w:t xml:space="preserve"> for 2025/26</w:t>
      </w:r>
      <w:r w:rsidRPr="004415B7" w:rsidR="00405217">
        <w:t>. This assumes maintenance of existing Apr</w:t>
      </w:r>
      <w:r w:rsidRPr="004415B7" w:rsidR="000123E8">
        <w:t xml:space="preserve">il to </w:t>
      </w:r>
      <w:r w:rsidRPr="004415B7" w:rsidR="00405217">
        <w:t>Sep</w:t>
      </w:r>
      <w:r w:rsidRPr="004415B7" w:rsidR="000123E8">
        <w:t>tember 2025</w:t>
      </w:r>
      <w:r w:rsidRPr="004415B7" w:rsidR="00405217">
        <w:t xml:space="preserve"> income patterns </w:t>
      </w:r>
      <w:r w:rsidRPr="004415B7" w:rsidR="00170559">
        <w:t xml:space="preserve">across the </w:t>
      </w:r>
      <w:r w:rsidR="00C3769D">
        <w:t>c</w:t>
      </w:r>
      <w:r w:rsidRPr="004415B7" w:rsidR="00170559">
        <w:t xml:space="preserve">ity </w:t>
      </w:r>
      <w:r w:rsidR="00C3769D">
        <w:t>c</w:t>
      </w:r>
      <w:r w:rsidRPr="004415B7" w:rsidR="00170559">
        <w:t xml:space="preserve">entre, suburban and Park </w:t>
      </w:r>
      <w:r w:rsidRPr="004415B7" w:rsidR="00D170C7">
        <w:t>&amp;</w:t>
      </w:r>
      <w:r w:rsidRPr="004415B7" w:rsidR="00170559">
        <w:t xml:space="preserve"> Ride car</w:t>
      </w:r>
      <w:r w:rsidRPr="004415B7" w:rsidR="00D170C7">
        <w:t xml:space="preserve"> </w:t>
      </w:r>
      <w:r w:rsidRPr="004415B7" w:rsidR="00170559">
        <w:t xml:space="preserve">parks </w:t>
      </w:r>
      <w:r w:rsidRPr="004415B7" w:rsidR="00D170C7">
        <w:t xml:space="preserve">collectively </w:t>
      </w:r>
      <w:r w:rsidRPr="004415B7" w:rsidR="00405217">
        <w:t xml:space="preserve">throughout the remainder of 2025/26, with </w:t>
      </w:r>
      <w:r w:rsidR="00C3769D">
        <w:t>c</w:t>
      </w:r>
      <w:r w:rsidRPr="004415B7" w:rsidR="00405217">
        <w:t xml:space="preserve">ar </w:t>
      </w:r>
      <w:r w:rsidR="00C3769D">
        <w:t>p</w:t>
      </w:r>
      <w:r w:rsidRPr="004415B7" w:rsidR="00405217">
        <w:t>arking management costs similarly rising</w:t>
      </w:r>
      <w:r w:rsidRPr="004415B7" w:rsidR="00FC3E3E">
        <w:t xml:space="preserve">. </w:t>
      </w:r>
    </w:p>
    <w:p w:rsidRPr="004415B7" w:rsidR="00084AD0" w:rsidP="00766982" w:rsidRDefault="20070770" w14:paraId="7641885E" w14:textId="42B80FC5">
      <w:pPr>
        <w:pStyle w:val="Bulletpoints"/>
        <w:numPr>
          <w:ilvl w:val="0"/>
          <w:numId w:val="0"/>
        </w:numPr>
        <w:ind w:left="810"/>
      </w:pPr>
      <w:r w:rsidRPr="001C3DFC">
        <w:t xml:space="preserve">The budgeted </w:t>
      </w:r>
      <w:r w:rsidRPr="001C3DFC" w:rsidR="502F10DC">
        <w:t>dividend return from ODS is £</w:t>
      </w:r>
      <w:r w:rsidRPr="001C3DFC" w:rsidR="63C863DB">
        <w:t>2</w:t>
      </w:r>
      <w:r w:rsidR="001C3DFC">
        <w:t>.</w:t>
      </w:r>
      <w:r w:rsidRPr="001C3DFC" w:rsidR="007C3C59">
        <w:t>0</w:t>
      </w:r>
      <w:r w:rsidRPr="001C3DFC" w:rsidR="00FE4206">
        <w:t xml:space="preserve">m </w:t>
      </w:r>
      <w:r w:rsidRPr="001C3DFC" w:rsidR="006E03AF">
        <w:t>a</w:t>
      </w:r>
      <w:r w:rsidR="502F10DC">
        <w:t xml:space="preserve">nd from </w:t>
      </w:r>
      <w:proofErr w:type="spellStart"/>
      <w:r w:rsidR="502F10DC">
        <w:t>OXplace</w:t>
      </w:r>
      <w:proofErr w:type="spellEnd"/>
      <w:r w:rsidR="502F10DC">
        <w:t xml:space="preserve"> £</w:t>
      </w:r>
      <w:r w:rsidR="007C3C59">
        <w:t>4.889</w:t>
      </w:r>
      <w:r w:rsidR="5B42C56D">
        <w:t>m</w:t>
      </w:r>
      <w:r w:rsidR="007C3C59">
        <w:t>.</w:t>
      </w:r>
      <w:r w:rsidR="502F10DC">
        <w:t xml:space="preserve"> Although neither dividend has been declared yet, it is expected th</w:t>
      </w:r>
      <w:r w:rsidR="082E4A04">
        <w:t xml:space="preserve">at the total will be in line with the budget. </w:t>
      </w:r>
    </w:p>
    <w:p w:rsidRPr="004415B7" w:rsidR="005B62E5" w:rsidP="003E0DDB" w:rsidRDefault="005B62E5" w14:paraId="5AD8AA61" w14:textId="0A319A0F">
      <w:pPr>
        <w:pStyle w:val="Bulletpoints"/>
        <w:numPr>
          <w:ilvl w:val="0"/>
          <w:numId w:val="0"/>
        </w:numPr>
        <w:ind w:left="810"/>
      </w:pPr>
      <w:r w:rsidRPr="004415B7">
        <w:rPr>
          <w:b/>
          <w:bCs/>
          <w:u w:val="single"/>
        </w:rPr>
        <w:t>Financial Services</w:t>
      </w:r>
      <w:r w:rsidRPr="004415B7">
        <w:t xml:space="preserve"> – there is a</w:t>
      </w:r>
      <w:r w:rsidRPr="004415B7" w:rsidR="00EE1E95">
        <w:t xml:space="preserve"> projected outturn variance of £0.</w:t>
      </w:r>
      <w:r w:rsidRPr="004415B7" w:rsidR="00203FB2">
        <w:t>758</w:t>
      </w:r>
      <w:r w:rsidRPr="004415B7" w:rsidR="00EE1E95">
        <w:t xml:space="preserve">m </w:t>
      </w:r>
      <w:r w:rsidRPr="004415B7" w:rsidR="00BB0DCE">
        <w:t>for 2025/26</w:t>
      </w:r>
      <w:r w:rsidRPr="004415B7" w:rsidR="00153E64">
        <w:t xml:space="preserve"> </w:t>
      </w:r>
      <w:r w:rsidR="00A35903">
        <w:t>arising</w:t>
      </w:r>
      <w:r w:rsidRPr="004415B7" w:rsidR="00C01D23">
        <w:t xml:space="preserve"> from </w:t>
      </w:r>
      <w:r w:rsidRPr="004415B7" w:rsidR="007115C1">
        <w:t xml:space="preserve">expected </w:t>
      </w:r>
      <w:r w:rsidRPr="004415B7" w:rsidR="00153E64">
        <w:t xml:space="preserve">pressures </w:t>
      </w:r>
      <w:r w:rsidRPr="004415B7" w:rsidR="00E64D7D">
        <w:t>i</w:t>
      </w:r>
      <w:r w:rsidRPr="004415B7" w:rsidR="00C8716E">
        <w:t>n</w:t>
      </w:r>
      <w:r w:rsidRPr="004415B7">
        <w:t>:</w:t>
      </w:r>
    </w:p>
    <w:p w:rsidRPr="004415B7" w:rsidR="005B62E5" w:rsidP="00B55494" w:rsidRDefault="00C8716E" w14:paraId="2504D6B5" w14:textId="277A6FD5">
      <w:pPr>
        <w:pStyle w:val="ListParagraph"/>
        <w:numPr>
          <w:ilvl w:val="1"/>
          <w:numId w:val="10"/>
        </w:numPr>
        <w:ind w:left="1134" w:hanging="283"/>
        <w:rPr>
          <w:color w:val="000000" w:themeColor="text1"/>
        </w:rPr>
      </w:pPr>
      <w:r w:rsidRPr="004415B7">
        <w:rPr>
          <w:color w:val="000000" w:themeColor="text1"/>
        </w:rPr>
        <w:t>Revenues and Benefits</w:t>
      </w:r>
      <w:r w:rsidRPr="004415B7" w:rsidR="008B3DA8">
        <w:rPr>
          <w:color w:val="000000" w:themeColor="text1"/>
        </w:rPr>
        <w:t xml:space="preserve"> £0.292m </w:t>
      </w:r>
      <w:r w:rsidRPr="004415B7" w:rsidR="008301BF">
        <w:rPr>
          <w:color w:val="000000" w:themeColor="text1"/>
        </w:rPr>
        <w:t>–</w:t>
      </w:r>
      <w:r w:rsidRPr="004415B7" w:rsidR="008B3DA8">
        <w:rPr>
          <w:color w:val="000000" w:themeColor="text1"/>
        </w:rPr>
        <w:t xml:space="preserve"> </w:t>
      </w:r>
      <w:r w:rsidRPr="004415B7" w:rsidR="00E64D7D">
        <w:rPr>
          <w:color w:val="000000" w:themeColor="text1"/>
        </w:rPr>
        <w:t xml:space="preserve">adverse </w:t>
      </w:r>
      <w:r w:rsidR="00497F52">
        <w:rPr>
          <w:color w:val="000000" w:themeColor="text1"/>
        </w:rPr>
        <w:t xml:space="preserve">outturn </w:t>
      </w:r>
      <w:r w:rsidRPr="004415B7" w:rsidR="00E64D7D">
        <w:rPr>
          <w:color w:val="000000" w:themeColor="text1"/>
        </w:rPr>
        <w:t>variance</w:t>
      </w:r>
      <w:r w:rsidRPr="004415B7" w:rsidR="008901DE">
        <w:rPr>
          <w:color w:val="000000" w:themeColor="text1"/>
        </w:rPr>
        <w:t>s</w:t>
      </w:r>
      <w:r w:rsidRPr="004415B7" w:rsidR="00E64D7D">
        <w:rPr>
          <w:color w:val="000000" w:themeColor="text1"/>
        </w:rPr>
        <w:t xml:space="preserve"> </w:t>
      </w:r>
      <w:r w:rsidRPr="004415B7" w:rsidR="008301BF">
        <w:rPr>
          <w:color w:val="000000" w:themeColor="text1"/>
        </w:rPr>
        <w:t xml:space="preserve">on printing, postage and carriage of £250k </w:t>
      </w:r>
      <w:r w:rsidR="00141873">
        <w:rPr>
          <w:color w:val="000000" w:themeColor="text1"/>
        </w:rPr>
        <w:t xml:space="preserve">related to </w:t>
      </w:r>
      <w:r w:rsidR="002568BE">
        <w:rPr>
          <w:color w:val="000000" w:themeColor="text1"/>
        </w:rPr>
        <w:t>c</w:t>
      </w:r>
      <w:r w:rsidR="00804819">
        <w:rPr>
          <w:color w:val="000000" w:themeColor="text1"/>
        </w:rPr>
        <w:t xml:space="preserve">ouncil </w:t>
      </w:r>
      <w:r w:rsidR="002568BE">
        <w:rPr>
          <w:color w:val="000000" w:themeColor="text1"/>
        </w:rPr>
        <w:t>t</w:t>
      </w:r>
      <w:r w:rsidR="00804819">
        <w:rPr>
          <w:color w:val="000000" w:themeColor="text1"/>
        </w:rPr>
        <w:t xml:space="preserve">ax and </w:t>
      </w:r>
      <w:r w:rsidR="002568BE">
        <w:rPr>
          <w:color w:val="000000" w:themeColor="text1"/>
        </w:rPr>
        <w:t>b</w:t>
      </w:r>
      <w:r w:rsidR="00804819">
        <w:rPr>
          <w:color w:val="000000" w:themeColor="text1"/>
        </w:rPr>
        <w:t xml:space="preserve">usiness </w:t>
      </w:r>
      <w:r w:rsidR="002568BE">
        <w:rPr>
          <w:color w:val="000000" w:themeColor="text1"/>
        </w:rPr>
        <w:t>r</w:t>
      </w:r>
      <w:r w:rsidR="00804819">
        <w:rPr>
          <w:color w:val="000000" w:themeColor="text1"/>
        </w:rPr>
        <w:t xml:space="preserve">ates </w:t>
      </w:r>
      <w:r w:rsidR="003B4FCF">
        <w:rPr>
          <w:color w:val="000000" w:themeColor="text1"/>
        </w:rPr>
        <w:t xml:space="preserve">billing </w:t>
      </w:r>
      <w:r w:rsidRPr="004415B7" w:rsidR="00991ACE">
        <w:rPr>
          <w:color w:val="000000" w:themeColor="text1"/>
        </w:rPr>
        <w:t xml:space="preserve">and £45k </w:t>
      </w:r>
      <w:r w:rsidRPr="004415B7" w:rsidR="002077D5">
        <w:rPr>
          <w:color w:val="000000" w:themeColor="text1"/>
        </w:rPr>
        <w:t xml:space="preserve">subscriptions overspend on NEC Solutions Revenues/ </w:t>
      </w:r>
      <w:r w:rsidRPr="004415B7" w:rsidR="00E47810">
        <w:rPr>
          <w:color w:val="000000" w:themeColor="text1"/>
        </w:rPr>
        <w:t>N</w:t>
      </w:r>
      <w:r w:rsidR="00E47810">
        <w:rPr>
          <w:color w:val="000000" w:themeColor="text1"/>
        </w:rPr>
        <w:t>on-Domestic</w:t>
      </w:r>
      <w:r w:rsidR="00FC0C6F">
        <w:rPr>
          <w:color w:val="000000" w:themeColor="text1"/>
        </w:rPr>
        <w:t xml:space="preserve"> </w:t>
      </w:r>
      <w:r w:rsidRPr="004415B7" w:rsidR="002077D5">
        <w:rPr>
          <w:color w:val="000000" w:themeColor="text1"/>
        </w:rPr>
        <w:t>R</w:t>
      </w:r>
      <w:r w:rsidR="00FC0C6F">
        <w:rPr>
          <w:color w:val="000000" w:themeColor="text1"/>
        </w:rPr>
        <w:t>ates</w:t>
      </w:r>
      <w:r w:rsidRPr="004415B7" w:rsidR="002077D5">
        <w:rPr>
          <w:color w:val="000000" w:themeColor="text1"/>
        </w:rPr>
        <w:t xml:space="preserve"> processing</w:t>
      </w:r>
      <w:r w:rsidRPr="004415B7" w:rsidR="00F8102C">
        <w:rPr>
          <w:color w:val="000000" w:themeColor="text1"/>
        </w:rPr>
        <w:t xml:space="preserve">. </w:t>
      </w:r>
    </w:p>
    <w:p w:rsidRPr="004415B7" w:rsidR="00227321" w:rsidP="004136E5" w:rsidRDefault="61917766" w14:paraId="13A4A075" w14:textId="2F0B4CB8">
      <w:pPr>
        <w:ind w:left="1134"/>
        <w:rPr>
          <w:color w:val="000000" w:themeColor="text1"/>
        </w:rPr>
      </w:pPr>
      <w:r w:rsidRPr="004415B7">
        <w:rPr>
          <w:color w:val="000000" w:themeColor="text1"/>
        </w:rPr>
        <w:t xml:space="preserve">Decentralisation of the printing and postage budget from </w:t>
      </w:r>
      <w:r w:rsidRPr="004415B7" w:rsidR="00FB4D01">
        <w:rPr>
          <w:color w:val="000000" w:themeColor="text1"/>
        </w:rPr>
        <w:t>corporate</w:t>
      </w:r>
      <w:r w:rsidRPr="004415B7">
        <w:rPr>
          <w:color w:val="000000" w:themeColor="text1"/>
        </w:rPr>
        <w:t xml:space="preserve"> print room is </w:t>
      </w:r>
      <w:r w:rsidRPr="004415B7" w:rsidR="63B7CE35">
        <w:rPr>
          <w:color w:val="000000" w:themeColor="text1"/>
        </w:rPr>
        <w:t>insufficient</w:t>
      </w:r>
      <w:r w:rsidRPr="004415B7">
        <w:rPr>
          <w:color w:val="000000" w:themeColor="text1"/>
        </w:rPr>
        <w:t xml:space="preserve"> to </w:t>
      </w:r>
      <w:r w:rsidRPr="004415B7" w:rsidR="76DBCD6B">
        <w:rPr>
          <w:color w:val="000000" w:themeColor="text1"/>
        </w:rPr>
        <w:t xml:space="preserve">cover printing and postage costs </w:t>
      </w:r>
      <w:r w:rsidR="002F5E96">
        <w:rPr>
          <w:color w:val="000000" w:themeColor="text1"/>
        </w:rPr>
        <w:t>for the</w:t>
      </w:r>
      <w:r w:rsidRPr="004415B7" w:rsidR="76DBCD6B">
        <w:rPr>
          <w:color w:val="000000" w:themeColor="text1"/>
        </w:rPr>
        <w:t xml:space="preserve"> Revenues Service. Reductions in printing costs associated with </w:t>
      </w:r>
      <w:r w:rsidR="00DF065F">
        <w:rPr>
          <w:color w:val="000000" w:themeColor="text1"/>
        </w:rPr>
        <w:t xml:space="preserve">the </w:t>
      </w:r>
      <w:r w:rsidRPr="004415B7" w:rsidR="76DBCD6B">
        <w:rPr>
          <w:color w:val="000000" w:themeColor="text1"/>
        </w:rPr>
        <w:t xml:space="preserve">annual billing of </w:t>
      </w:r>
      <w:r w:rsidRPr="004415B7" w:rsidR="02C312E1">
        <w:rPr>
          <w:color w:val="000000" w:themeColor="text1"/>
        </w:rPr>
        <w:t xml:space="preserve">business rates and council </w:t>
      </w:r>
      <w:r w:rsidRPr="004415B7" w:rsidR="18E0AD40">
        <w:rPr>
          <w:color w:val="000000" w:themeColor="text1"/>
        </w:rPr>
        <w:t xml:space="preserve">tax </w:t>
      </w:r>
      <w:r w:rsidR="00DF065F">
        <w:rPr>
          <w:color w:val="000000" w:themeColor="text1"/>
        </w:rPr>
        <w:t xml:space="preserve">are planned </w:t>
      </w:r>
      <w:r w:rsidRPr="004415B7" w:rsidR="18E0AD40">
        <w:rPr>
          <w:color w:val="000000" w:themeColor="text1"/>
        </w:rPr>
        <w:t>although these savings will materialise from 2026-27</w:t>
      </w:r>
      <w:r w:rsidRPr="004415B7" w:rsidR="02C312E1">
        <w:rPr>
          <w:color w:val="000000" w:themeColor="text1"/>
        </w:rPr>
        <w:t xml:space="preserve"> </w:t>
      </w:r>
      <w:r w:rsidRPr="004415B7" w:rsidR="63A51452">
        <w:rPr>
          <w:color w:val="000000" w:themeColor="text1"/>
        </w:rPr>
        <w:t xml:space="preserve">onwards. </w:t>
      </w:r>
    </w:p>
    <w:p w:rsidR="009467E2" w:rsidP="008E077D" w:rsidRDefault="00DB4F02" w14:paraId="076070C0" w14:textId="675D77A5">
      <w:pPr>
        <w:pStyle w:val="ListParagraph"/>
        <w:numPr>
          <w:ilvl w:val="1"/>
          <w:numId w:val="10"/>
        </w:numPr>
        <w:ind w:left="1134" w:hanging="283"/>
        <w:rPr>
          <w:color w:val="000000" w:themeColor="text1"/>
        </w:rPr>
      </w:pPr>
      <w:r w:rsidRPr="004415B7">
        <w:rPr>
          <w:color w:val="000000" w:themeColor="text1"/>
        </w:rPr>
        <w:t xml:space="preserve">Salaries </w:t>
      </w:r>
      <w:r w:rsidRPr="004415B7" w:rsidR="00A12651">
        <w:rPr>
          <w:color w:val="000000" w:themeColor="text1"/>
        </w:rPr>
        <w:t>E</w:t>
      </w:r>
      <w:r w:rsidRPr="004415B7" w:rsidR="0020267A">
        <w:rPr>
          <w:color w:val="000000" w:themeColor="text1"/>
        </w:rPr>
        <w:t>stablishment cost pressures of £0.</w:t>
      </w:r>
      <w:r w:rsidRPr="004415B7" w:rsidR="0040296E">
        <w:rPr>
          <w:color w:val="000000" w:themeColor="text1"/>
        </w:rPr>
        <w:t>3</w:t>
      </w:r>
      <w:r w:rsidRPr="004415B7" w:rsidR="00530042">
        <w:rPr>
          <w:color w:val="000000" w:themeColor="text1"/>
        </w:rPr>
        <w:t>94</w:t>
      </w:r>
      <w:r w:rsidRPr="004415B7" w:rsidR="0020267A">
        <w:rPr>
          <w:color w:val="000000" w:themeColor="text1"/>
        </w:rPr>
        <w:t xml:space="preserve">m across the service area from </w:t>
      </w:r>
      <w:r w:rsidRPr="004415B7" w:rsidR="00B67124">
        <w:rPr>
          <w:color w:val="000000" w:themeColor="text1"/>
        </w:rPr>
        <w:t>job regrades</w:t>
      </w:r>
      <w:r w:rsidR="00F918E7">
        <w:rPr>
          <w:color w:val="000000" w:themeColor="text1"/>
        </w:rPr>
        <w:t>, appeals</w:t>
      </w:r>
      <w:r w:rsidRPr="004415B7" w:rsidR="00B97D58">
        <w:rPr>
          <w:color w:val="000000" w:themeColor="text1"/>
        </w:rPr>
        <w:t xml:space="preserve"> and</w:t>
      </w:r>
      <w:r w:rsidRPr="004415B7" w:rsidR="00B67124">
        <w:rPr>
          <w:color w:val="000000" w:themeColor="text1"/>
        </w:rPr>
        <w:t xml:space="preserve"> subsequent increment</w:t>
      </w:r>
      <w:r w:rsidRPr="004415B7" w:rsidR="006B655F">
        <w:rPr>
          <w:color w:val="000000" w:themeColor="text1"/>
        </w:rPr>
        <w:t>s,</w:t>
      </w:r>
      <w:r w:rsidRPr="004415B7" w:rsidR="00B90B09">
        <w:rPr>
          <w:color w:val="000000" w:themeColor="text1"/>
        </w:rPr>
        <w:t xml:space="preserve"> </w:t>
      </w:r>
      <w:r w:rsidRPr="004415B7" w:rsidR="0020267A">
        <w:rPr>
          <w:color w:val="000000" w:themeColor="text1"/>
        </w:rPr>
        <w:t>the requirement for unbudgeted agency staffing</w:t>
      </w:r>
      <w:r w:rsidRPr="004415B7" w:rsidR="00D07C4F">
        <w:rPr>
          <w:color w:val="000000" w:themeColor="text1"/>
        </w:rPr>
        <w:t xml:space="preserve"> for</w:t>
      </w:r>
      <w:r w:rsidRPr="004415B7" w:rsidR="0020267A">
        <w:rPr>
          <w:color w:val="000000" w:themeColor="text1"/>
        </w:rPr>
        <w:t xml:space="preserve"> cover</w:t>
      </w:r>
      <w:r w:rsidRPr="004415B7" w:rsidR="007B7447">
        <w:rPr>
          <w:color w:val="000000" w:themeColor="text1"/>
        </w:rPr>
        <w:t xml:space="preserve">age of </w:t>
      </w:r>
      <w:r w:rsidRPr="004415B7" w:rsidR="00C9255E">
        <w:rPr>
          <w:color w:val="000000" w:themeColor="text1"/>
        </w:rPr>
        <w:t>s</w:t>
      </w:r>
      <w:r w:rsidRPr="004415B7" w:rsidR="0020267A">
        <w:rPr>
          <w:color w:val="000000" w:themeColor="text1"/>
        </w:rPr>
        <w:t xml:space="preserve">taff </w:t>
      </w:r>
      <w:r w:rsidRPr="004415B7" w:rsidR="00C9255E">
        <w:rPr>
          <w:color w:val="000000" w:themeColor="text1"/>
        </w:rPr>
        <w:t xml:space="preserve">absence </w:t>
      </w:r>
      <w:r w:rsidR="002818A2">
        <w:rPr>
          <w:color w:val="000000" w:themeColor="text1"/>
        </w:rPr>
        <w:t xml:space="preserve">and including </w:t>
      </w:r>
      <w:r w:rsidRPr="004415B7" w:rsidR="0020267A">
        <w:rPr>
          <w:color w:val="000000" w:themeColor="text1"/>
        </w:rPr>
        <w:t>short-term support to assist with 2024/25 financial year-end closedown tasks</w:t>
      </w:r>
      <w:r w:rsidRPr="004415B7" w:rsidR="00F05655">
        <w:rPr>
          <w:color w:val="000000" w:themeColor="text1"/>
        </w:rPr>
        <w:t>.</w:t>
      </w:r>
      <w:r w:rsidRPr="004415B7" w:rsidR="0020267A">
        <w:rPr>
          <w:color w:val="000000" w:themeColor="text1"/>
        </w:rPr>
        <w:t xml:space="preserve"> </w:t>
      </w:r>
    </w:p>
    <w:p w:rsidRPr="004415B7" w:rsidR="005B62E5" w:rsidP="00B55494" w:rsidRDefault="005B62E5" w14:paraId="32554BD1" w14:textId="2DCFEC96">
      <w:pPr>
        <w:pStyle w:val="ListParagraph"/>
        <w:numPr>
          <w:ilvl w:val="1"/>
          <w:numId w:val="10"/>
        </w:numPr>
        <w:ind w:left="1134" w:hanging="283"/>
        <w:rPr>
          <w:color w:val="000000" w:themeColor="text1"/>
        </w:rPr>
      </w:pPr>
      <w:r w:rsidRPr="004415B7">
        <w:rPr>
          <w:color w:val="000000" w:themeColor="text1"/>
        </w:rPr>
        <w:lastRenderedPageBreak/>
        <w:t>£</w:t>
      </w:r>
      <w:r w:rsidRPr="004415B7" w:rsidR="0020267A">
        <w:rPr>
          <w:color w:val="000000" w:themeColor="text1"/>
        </w:rPr>
        <w:t>0.0</w:t>
      </w:r>
      <w:r w:rsidRPr="004415B7" w:rsidR="00340121">
        <w:rPr>
          <w:color w:val="000000" w:themeColor="text1"/>
        </w:rPr>
        <w:t>72</w:t>
      </w:r>
      <w:r w:rsidRPr="004415B7" w:rsidR="0020267A">
        <w:rPr>
          <w:color w:val="000000" w:themeColor="text1"/>
        </w:rPr>
        <w:t xml:space="preserve">m </w:t>
      </w:r>
      <w:r w:rsidRPr="004415B7">
        <w:rPr>
          <w:color w:val="000000" w:themeColor="text1"/>
        </w:rPr>
        <w:t xml:space="preserve">cost pressure from </w:t>
      </w:r>
      <w:r w:rsidRPr="004415B7" w:rsidR="00F22FD5">
        <w:rPr>
          <w:color w:val="000000" w:themeColor="text1"/>
        </w:rPr>
        <w:t xml:space="preserve">a combination of adverse </w:t>
      </w:r>
      <w:r w:rsidRPr="004415B7" w:rsidR="008B103E">
        <w:rPr>
          <w:color w:val="000000" w:themeColor="text1"/>
        </w:rPr>
        <w:t>expenditure</w:t>
      </w:r>
      <w:r w:rsidRPr="004415B7" w:rsidR="00513E7A">
        <w:rPr>
          <w:color w:val="000000" w:themeColor="text1"/>
        </w:rPr>
        <w:t xml:space="preserve"> on </w:t>
      </w:r>
      <w:r w:rsidRPr="004415B7" w:rsidR="008B103E">
        <w:rPr>
          <w:color w:val="000000" w:themeColor="text1"/>
        </w:rPr>
        <w:t xml:space="preserve"> </w:t>
      </w:r>
      <w:r w:rsidRPr="004415B7" w:rsidR="00F22FD5">
        <w:rPr>
          <w:color w:val="000000" w:themeColor="text1"/>
        </w:rPr>
        <w:t>subscription</w:t>
      </w:r>
      <w:r w:rsidRPr="004415B7" w:rsidR="00513E7A">
        <w:rPr>
          <w:color w:val="000000" w:themeColor="text1"/>
        </w:rPr>
        <w:t>s</w:t>
      </w:r>
      <w:r w:rsidRPr="004415B7" w:rsidR="00F22FD5">
        <w:rPr>
          <w:color w:val="000000" w:themeColor="text1"/>
        </w:rPr>
        <w:t xml:space="preserve">, </w:t>
      </w:r>
      <w:r w:rsidRPr="004415B7" w:rsidR="00513E7A">
        <w:rPr>
          <w:color w:val="000000" w:themeColor="text1"/>
        </w:rPr>
        <w:t xml:space="preserve">fees for tax returns </w:t>
      </w:r>
      <w:r w:rsidRPr="004415B7" w:rsidR="00306038">
        <w:rPr>
          <w:color w:val="000000" w:themeColor="text1"/>
        </w:rPr>
        <w:t xml:space="preserve">and </w:t>
      </w:r>
      <w:r w:rsidRPr="004415B7">
        <w:rPr>
          <w:color w:val="000000" w:themeColor="text1"/>
        </w:rPr>
        <w:t>asset valuation services</w:t>
      </w:r>
      <w:r w:rsidRPr="004415B7" w:rsidR="46165EE7">
        <w:rPr>
          <w:color w:val="000000" w:themeColor="text1"/>
        </w:rPr>
        <w:t xml:space="preserve"> in respect of preparation of the statement of accounts. The service </w:t>
      </w:r>
      <w:r w:rsidRPr="004415B7" w:rsidR="00E02B17">
        <w:rPr>
          <w:color w:val="000000" w:themeColor="text1"/>
        </w:rPr>
        <w:t xml:space="preserve">for the latter </w:t>
      </w:r>
      <w:r w:rsidRPr="004415B7" w:rsidR="46165EE7">
        <w:rPr>
          <w:color w:val="000000" w:themeColor="text1"/>
        </w:rPr>
        <w:t>is currently subject</w:t>
      </w:r>
      <w:r w:rsidRPr="004415B7" w:rsidR="00E02B17">
        <w:rPr>
          <w:color w:val="000000" w:themeColor="text1"/>
        </w:rPr>
        <w:t xml:space="preserve"> </w:t>
      </w:r>
      <w:r w:rsidRPr="004415B7" w:rsidR="46165EE7">
        <w:rPr>
          <w:color w:val="000000" w:themeColor="text1"/>
        </w:rPr>
        <w:t xml:space="preserve">to </w:t>
      </w:r>
      <w:r w:rsidRPr="51BEE4ED" w:rsidR="2E8A80BC">
        <w:rPr>
          <w:color w:val="000000" w:themeColor="text1"/>
        </w:rPr>
        <w:t xml:space="preserve">a </w:t>
      </w:r>
      <w:r w:rsidRPr="51BEE4ED" w:rsidR="46165EE7">
        <w:rPr>
          <w:color w:val="000000" w:themeColor="text1"/>
        </w:rPr>
        <w:t>tender</w:t>
      </w:r>
      <w:r w:rsidRPr="51BEE4ED" w:rsidR="2236C7A8">
        <w:rPr>
          <w:color w:val="000000" w:themeColor="text1"/>
        </w:rPr>
        <w:t>ing exercise</w:t>
      </w:r>
      <w:r w:rsidRPr="004415B7" w:rsidR="46165EE7">
        <w:rPr>
          <w:color w:val="000000" w:themeColor="text1"/>
        </w:rPr>
        <w:t xml:space="preserve">. </w:t>
      </w:r>
    </w:p>
    <w:p w:rsidRPr="004415B7" w:rsidR="0050725F" w:rsidP="0050725F" w:rsidRDefault="0050725F" w14:paraId="577CEA24" w14:textId="3FF4BB98">
      <w:pPr>
        <w:pStyle w:val="Bulletpoints"/>
        <w:numPr>
          <w:ilvl w:val="0"/>
          <w:numId w:val="0"/>
        </w:numPr>
        <w:ind w:left="810"/>
      </w:pPr>
      <w:r w:rsidRPr="004415B7">
        <w:rPr>
          <w:b/>
          <w:bCs/>
          <w:u w:val="single"/>
        </w:rPr>
        <w:t>Chief Executive Team</w:t>
      </w:r>
      <w:r w:rsidRPr="004415B7">
        <w:t xml:space="preserve"> – an adverse variance of £0.15m is forecast at year-end due to pressure on the consultancy budget for </w:t>
      </w:r>
      <w:r w:rsidR="004A41A2">
        <w:t xml:space="preserve">work on the </w:t>
      </w:r>
      <w:r>
        <w:t>L</w:t>
      </w:r>
      <w:r w:rsidR="5A85DDD9">
        <w:t xml:space="preserve">ocal </w:t>
      </w:r>
      <w:r>
        <w:t>G</w:t>
      </w:r>
      <w:r w:rsidR="3C1B128F">
        <w:t xml:space="preserve">overnment </w:t>
      </w:r>
      <w:r>
        <w:t>R</w:t>
      </w:r>
      <w:r w:rsidR="004B6CBC">
        <w:t>eorganisation (LGR) programme</w:t>
      </w:r>
      <w:r w:rsidRPr="004415B7">
        <w:t xml:space="preserve"> and a lower than budgeted ability to recharge salary costs to the capital programme. </w:t>
      </w:r>
    </w:p>
    <w:p w:rsidRPr="004415B7" w:rsidR="00D14A87" w:rsidP="00200935" w:rsidRDefault="005B62E5" w14:paraId="5063EC85" w14:textId="0F9EB953">
      <w:pPr>
        <w:pStyle w:val="Bulletpoints"/>
        <w:numPr>
          <w:ilvl w:val="0"/>
          <w:numId w:val="0"/>
        </w:numPr>
        <w:ind w:left="810"/>
        <w:rPr>
          <w:color w:val="000000" w:themeColor="text1"/>
        </w:rPr>
      </w:pPr>
      <w:r w:rsidRPr="004415B7">
        <w:rPr>
          <w:b/>
          <w:bCs/>
          <w:u w:val="single"/>
        </w:rPr>
        <w:t>Law, Governance &amp; Strategy</w:t>
      </w:r>
      <w:r w:rsidRPr="004415B7">
        <w:t xml:space="preserve"> – there is </w:t>
      </w:r>
      <w:r w:rsidRPr="004415B7" w:rsidR="0020267A">
        <w:t>a</w:t>
      </w:r>
      <w:r w:rsidRPr="004415B7" w:rsidR="006A4DDC">
        <w:t xml:space="preserve"> </w:t>
      </w:r>
      <w:r w:rsidRPr="004415B7" w:rsidR="00CE4DF9">
        <w:t>pro</w:t>
      </w:r>
      <w:r w:rsidRPr="004415B7" w:rsidR="00CA4752">
        <w:t>jected a</w:t>
      </w:r>
      <w:r w:rsidRPr="004415B7" w:rsidR="00585E66">
        <w:t xml:space="preserve">dverse </w:t>
      </w:r>
      <w:r w:rsidRPr="004415B7" w:rsidR="000C5533">
        <w:t xml:space="preserve">outturn </w:t>
      </w:r>
      <w:r w:rsidRPr="004415B7" w:rsidR="003C62B5">
        <w:t xml:space="preserve">variance </w:t>
      </w:r>
      <w:r w:rsidRPr="004415B7" w:rsidR="00547EAB">
        <w:t xml:space="preserve">of </w:t>
      </w:r>
      <w:r w:rsidRPr="004415B7" w:rsidR="00F817DD">
        <w:t>£0.</w:t>
      </w:r>
      <w:r w:rsidRPr="004415B7" w:rsidR="00CA4752">
        <w:t>462</w:t>
      </w:r>
      <w:r w:rsidRPr="004415B7" w:rsidR="00F817DD">
        <w:t xml:space="preserve">m </w:t>
      </w:r>
      <w:r w:rsidRPr="004415B7" w:rsidR="0063580B">
        <w:t xml:space="preserve">across the service area </w:t>
      </w:r>
      <w:r w:rsidRPr="004415B7" w:rsidR="00F817DD">
        <w:t xml:space="preserve">for 2025/26 </w:t>
      </w:r>
      <w:r w:rsidRPr="004415B7" w:rsidR="0035145D">
        <w:t xml:space="preserve">which </w:t>
      </w:r>
      <w:r w:rsidRPr="004415B7" w:rsidR="0063580B">
        <w:t>can be mainly attributed to</w:t>
      </w:r>
      <w:r w:rsidRPr="004415B7" w:rsidR="00404689">
        <w:t xml:space="preserve"> </w:t>
      </w:r>
      <w:r w:rsidRPr="004415B7" w:rsidR="00CD665C">
        <w:t>staff costs</w:t>
      </w:r>
      <w:r w:rsidRPr="004415B7" w:rsidR="00730E5C">
        <w:t xml:space="preserve"> due to the</w:t>
      </w:r>
      <w:r w:rsidRPr="004415B7" w:rsidR="00200935">
        <w:t xml:space="preserve"> payment of market allowances and other remuneration increments, </w:t>
      </w:r>
      <w:r w:rsidRPr="004415B7" w:rsidR="00730E5C">
        <w:t>difficulty in recruiting lawyers</w:t>
      </w:r>
      <w:r w:rsidR="00003E3D">
        <w:t xml:space="preserve"> and</w:t>
      </w:r>
      <w:r w:rsidRPr="004415B7" w:rsidR="00730E5C">
        <w:t xml:space="preserve"> </w:t>
      </w:r>
      <w:r w:rsidRPr="004415B7" w:rsidR="003100A4">
        <w:t xml:space="preserve">increasing dependency on locums </w:t>
      </w:r>
      <w:r w:rsidRPr="004415B7" w:rsidR="001C122E">
        <w:rPr>
          <w:color w:val="000000" w:themeColor="text1"/>
        </w:rPr>
        <w:t>to provide resource capacity</w:t>
      </w:r>
      <w:r w:rsidRPr="004415B7" w:rsidR="00F67D6E">
        <w:rPr>
          <w:color w:val="000000" w:themeColor="text1"/>
        </w:rPr>
        <w:t xml:space="preserve"> to meet service demands.</w:t>
      </w:r>
    </w:p>
    <w:p w:rsidRPr="004415B7" w:rsidR="00452B14" w:rsidP="00200935" w:rsidRDefault="00452B14" w14:paraId="49547ECB" w14:textId="49DA979B">
      <w:pPr>
        <w:pStyle w:val="Bulletpoints"/>
        <w:numPr>
          <w:ilvl w:val="0"/>
          <w:numId w:val="0"/>
        </w:numPr>
        <w:ind w:left="810"/>
        <w:rPr>
          <w:color w:val="000000" w:themeColor="text1"/>
        </w:rPr>
      </w:pPr>
      <w:r w:rsidRPr="004415B7">
        <w:rPr>
          <w:b/>
          <w:bCs/>
          <w:u w:val="single"/>
        </w:rPr>
        <w:t>People</w:t>
      </w:r>
      <w:r w:rsidRPr="004415B7" w:rsidR="0062009D">
        <w:rPr>
          <w:b/>
          <w:bCs/>
          <w:u w:val="single"/>
        </w:rPr>
        <w:t xml:space="preserve"> Team </w:t>
      </w:r>
      <w:r w:rsidRPr="004415B7" w:rsidR="0062009D">
        <w:t>– a favourable variance of £0.1m is forecast for 2025/26</w:t>
      </w:r>
      <w:r w:rsidRPr="004415B7" w:rsidR="00FE38EF">
        <w:t xml:space="preserve"> arising principally from lower than budgeted expenditure on staff tra</w:t>
      </w:r>
      <w:r w:rsidRPr="004415B7" w:rsidR="00522B93">
        <w:t>ining,</w:t>
      </w:r>
      <w:r w:rsidRPr="004415B7" w:rsidR="00F26AEC">
        <w:t xml:space="preserve"> </w:t>
      </w:r>
      <w:r w:rsidRPr="004415B7" w:rsidR="00522B93">
        <w:t>Apprenticeship Levy, staff advertising</w:t>
      </w:r>
      <w:r w:rsidRPr="004415B7" w:rsidR="00F26AEC">
        <w:t>,</w:t>
      </w:r>
      <w:r w:rsidRPr="004415B7" w:rsidR="00522B93">
        <w:t xml:space="preserve"> staff travel discount</w:t>
      </w:r>
      <w:r w:rsidRPr="004415B7" w:rsidR="00D35211">
        <w:t xml:space="preserve"> and </w:t>
      </w:r>
      <w:r w:rsidRPr="004415B7" w:rsidR="00152567">
        <w:t>consultants’</w:t>
      </w:r>
      <w:r w:rsidRPr="004415B7" w:rsidR="00522B93">
        <w:t xml:space="preserve"> fees offset by expenditure exceeding budget on lone worker protection </w:t>
      </w:r>
      <w:r w:rsidRPr="004415B7" w:rsidR="00D35211">
        <w:t>and</w:t>
      </w:r>
      <w:r w:rsidRPr="004415B7" w:rsidR="00522B93">
        <w:t xml:space="preserve"> software purchases.</w:t>
      </w:r>
    </w:p>
    <w:p w:rsidRPr="004415B7" w:rsidR="008E31C9" w:rsidP="002B2B6F" w:rsidRDefault="005B62E5" w14:paraId="3E33554E" w14:textId="067EB64A">
      <w:pPr>
        <w:pStyle w:val="Bulletpoints"/>
        <w:numPr>
          <w:ilvl w:val="0"/>
          <w:numId w:val="0"/>
        </w:numPr>
        <w:ind w:left="810"/>
      </w:pPr>
      <w:r w:rsidRPr="004415B7">
        <w:rPr>
          <w:b/>
          <w:bCs/>
          <w:u w:val="single"/>
        </w:rPr>
        <w:t xml:space="preserve">Corporate Accounts </w:t>
      </w:r>
      <w:r w:rsidRPr="004415B7">
        <w:t xml:space="preserve">– </w:t>
      </w:r>
      <w:r w:rsidRPr="004415B7" w:rsidR="00813A7D">
        <w:t xml:space="preserve">this </w:t>
      </w:r>
      <w:r w:rsidRPr="004415B7" w:rsidR="008A1641">
        <w:t>includes</w:t>
      </w:r>
      <w:r w:rsidRPr="004415B7" w:rsidR="00C71E47">
        <w:t xml:space="preserve"> the net cost of housing benefits, interest receivable </w:t>
      </w:r>
      <w:r w:rsidRPr="004415B7" w:rsidR="005A4929">
        <w:t xml:space="preserve">from investments </w:t>
      </w:r>
      <w:r w:rsidRPr="004415B7" w:rsidR="00C71E47">
        <w:t xml:space="preserve">and payable </w:t>
      </w:r>
      <w:r w:rsidRPr="004415B7" w:rsidR="005A4929">
        <w:t>on loan finance</w:t>
      </w:r>
      <w:r w:rsidRPr="004415B7" w:rsidR="00C71E47">
        <w:t xml:space="preserve">. </w:t>
      </w:r>
      <w:r w:rsidRPr="004415B7" w:rsidR="005A4929">
        <w:t>A</w:t>
      </w:r>
      <w:r w:rsidRPr="004415B7" w:rsidR="00813A7D">
        <w:t xml:space="preserve">t this stage </w:t>
      </w:r>
      <w:r w:rsidRPr="004415B7" w:rsidR="006A4DDC">
        <w:t xml:space="preserve">the 2025/26 projected outturn </w:t>
      </w:r>
      <w:r w:rsidRPr="004415B7" w:rsidR="008A1641">
        <w:t xml:space="preserve">for Corporate Accounts </w:t>
      </w:r>
      <w:r w:rsidR="00D80BE2">
        <w:t xml:space="preserve">is favourable </w:t>
      </w:r>
      <w:r w:rsidR="002B4F45">
        <w:t>by £0.5m</w:t>
      </w:r>
      <w:r w:rsidR="00506F2F">
        <w:t xml:space="preserve"> compared to </w:t>
      </w:r>
      <w:r w:rsidRPr="004415B7" w:rsidR="005A4929">
        <w:t xml:space="preserve">the net budgeted cost </w:t>
      </w:r>
      <w:r w:rsidRPr="004415B7" w:rsidR="006A4DDC">
        <w:t>of £2.131m</w:t>
      </w:r>
      <w:r w:rsidRPr="004415B7" w:rsidR="009025E2">
        <w:t>,</w:t>
      </w:r>
      <w:r w:rsidRPr="004415B7" w:rsidR="006A4DDC">
        <w:t xml:space="preserve"> </w:t>
      </w:r>
      <w:r w:rsidRPr="004415B7" w:rsidR="005A4929">
        <w:t>the majority of which, £1.5m, relates to the net cost of housing benefits</w:t>
      </w:r>
      <w:r w:rsidR="00C03EC1">
        <w:t>.</w:t>
      </w:r>
    </w:p>
    <w:p w:rsidR="00791AB8" w:rsidP="002B2B6F" w:rsidRDefault="00791AB8" w14:paraId="1A3C1415" w14:textId="0A532E35">
      <w:pPr>
        <w:pStyle w:val="Bulletpoints"/>
        <w:numPr>
          <w:ilvl w:val="0"/>
          <w:numId w:val="0"/>
        </w:numPr>
        <w:ind w:left="810"/>
      </w:pPr>
      <w:r w:rsidRPr="004415B7">
        <w:t xml:space="preserve">Whilst </w:t>
      </w:r>
      <w:r w:rsidRPr="004415B7" w:rsidR="009025E2">
        <w:t xml:space="preserve">a </w:t>
      </w:r>
      <w:r w:rsidRPr="004415B7">
        <w:t xml:space="preserve">favourable </w:t>
      </w:r>
      <w:r w:rsidRPr="004415B7" w:rsidR="005A4929">
        <w:t>ou</w:t>
      </w:r>
      <w:r w:rsidRPr="004415B7" w:rsidR="001B35ED">
        <w:t>t</w:t>
      </w:r>
      <w:r w:rsidRPr="004415B7" w:rsidR="005A4929">
        <w:t xml:space="preserve">turn </w:t>
      </w:r>
      <w:r w:rsidR="00ED53D2">
        <w:t xml:space="preserve">for 2025/26 </w:t>
      </w:r>
      <w:r w:rsidRPr="004415B7" w:rsidR="005A4929">
        <w:t xml:space="preserve">is expected </w:t>
      </w:r>
      <w:r w:rsidRPr="004415B7">
        <w:t>on net interest</w:t>
      </w:r>
      <w:r w:rsidR="004D41E6">
        <w:t xml:space="preserve"> to the tune of £2</w:t>
      </w:r>
      <w:r w:rsidR="00825718">
        <w:t>.0</w:t>
      </w:r>
      <w:r w:rsidR="004D41E6">
        <w:t>m</w:t>
      </w:r>
      <w:r w:rsidRPr="004415B7" w:rsidR="009025E2">
        <w:t>,</w:t>
      </w:r>
      <w:r w:rsidRPr="004415B7">
        <w:t xml:space="preserve"> </w:t>
      </w:r>
      <w:r w:rsidRPr="004415B7" w:rsidR="005A4929">
        <w:t xml:space="preserve">since </w:t>
      </w:r>
      <w:r w:rsidRPr="004415B7">
        <w:t xml:space="preserve">borrowing to finance the </w:t>
      </w:r>
      <w:r w:rsidRPr="004415B7" w:rsidR="005A4929">
        <w:t xml:space="preserve">capital programme is </w:t>
      </w:r>
      <w:r w:rsidRPr="004415B7" w:rsidR="009025E2">
        <w:t>significantly</w:t>
      </w:r>
      <w:r w:rsidRPr="004415B7" w:rsidR="005A4929">
        <w:t xml:space="preserve"> less than </w:t>
      </w:r>
      <w:r w:rsidRPr="004415B7">
        <w:t xml:space="preserve">budgeted </w:t>
      </w:r>
      <w:r w:rsidRPr="004415B7" w:rsidR="005A4929">
        <w:t>due to programme</w:t>
      </w:r>
      <w:r w:rsidRPr="004415B7">
        <w:t xml:space="preserve"> slippages</w:t>
      </w:r>
      <w:r w:rsidR="007C4506">
        <w:t xml:space="preserve"> and higher than budgeted </w:t>
      </w:r>
      <w:r w:rsidR="00872439">
        <w:t xml:space="preserve">interest receivable </w:t>
      </w:r>
      <w:r w:rsidR="000F4174">
        <w:t xml:space="preserve">is </w:t>
      </w:r>
      <w:r w:rsidR="00872439">
        <w:t>anticipated</w:t>
      </w:r>
      <w:r w:rsidRPr="004415B7">
        <w:t xml:space="preserve">, current indications suggest that this will be offset </w:t>
      </w:r>
      <w:r w:rsidR="002A3C38">
        <w:t xml:space="preserve">by </w:t>
      </w:r>
      <w:r w:rsidR="00504973">
        <w:t xml:space="preserve">a £1.5m </w:t>
      </w:r>
      <w:r w:rsidRPr="004415B7" w:rsidR="009025E2">
        <w:t xml:space="preserve">increase in the </w:t>
      </w:r>
      <w:r w:rsidRPr="004415B7">
        <w:t xml:space="preserve">net cost of housing benefits payments </w:t>
      </w:r>
      <w:r w:rsidRPr="004415B7" w:rsidR="009025E2">
        <w:t xml:space="preserve">as </w:t>
      </w:r>
      <w:r w:rsidRPr="004415B7">
        <w:t xml:space="preserve">supported housing </w:t>
      </w:r>
      <w:r w:rsidRPr="004415B7" w:rsidR="009025E2">
        <w:t xml:space="preserve">benefit expenditure continues to rise. The council </w:t>
      </w:r>
      <w:r w:rsidR="00003E3D">
        <w:t>is</w:t>
      </w:r>
      <w:r w:rsidRPr="004415B7" w:rsidR="009025E2">
        <w:t xml:space="preserve"> </w:t>
      </w:r>
      <w:r w:rsidR="00E3140A">
        <w:t xml:space="preserve">actively </w:t>
      </w:r>
      <w:r w:rsidRPr="004415B7" w:rsidR="009025E2">
        <w:t>working on mitigations to try and contain overspends</w:t>
      </w:r>
      <w:r w:rsidRPr="00C03EC1" w:rsidR="00C03EC1">
        <w:t xml:space="preserve"> </w:t>
      </w:r>
      <w:r w:rsidRPr="00C03EC1" w:rsidR="00C03EC1">
        <w:t>largely arising from the inability to claim subsidy on supported housing accommodation benefit expenditure</w:t>
      </w:r>
      <w:r w:rsidRPr="004415B7" w:rsidR="009025E2">
        <w:t xml:space="preserve"> and the situation is being monitored. </w:t>
      </w:r>
    </w:p>
    <w:p w:rsidRPr="00C154B7" w:rsidR="002116EC" w:rsidP="00C154B7" w:rsidRDefault="002116EC" w14:paraId="2FE3AD7A" w14:textId="77777777">
      <w:pPr>
        <w:rPr>
          <w:b/>
          <w:bCs/>
          <w:color w:val="auto"/>
        </w:rPr>
      </w:pPr>
    </w:p>
    <w:p w:rsidRPr="004415B7" w:rsidR="008D5B32" w:rsidP="14BF4969" w:rsidRDefault="094D16CC" w14:paraId="6874A344" w14:textId="0B0BE664">
      <w:pPr>
        <w:pStyle w:val="Heading1"/>
        <w:rPr>
          <w:color w:val="auto"/>
        </w:rPr>
      </w:pPr>
      <w:r w:rsidRPr="004415B7">
        <w:rPr>
          <w:rFonts w:eastAsia="Calibri"/>
          <w:color w:val="auto"/>
        </w:rPr>
        <w:t>Housing Revenue Account</w:t>
      </w:r>
      <w:r w:rsidRPr="004415B7" w:rsidR="0743051B">
        <w:rPr>
          <w:rFonts w:eastAsia="Calibri"/>
          <w:color w:val="auto"/>
        </w:rPr>
        <w:t xml:space="preserve"> (“HRA”)</w:t>
      </w:r>
    </w:p>
    <w:p w:rsidRPr="004415B7" w:rsidR="00757B18" w:rsidP="00EC2D99" w:rsidRDefault="009A52A9" w14:paraId="2DB6C8DB" w14:textId="3173C7DE">
      <w:pPr>
        <w:pStyle w:val="ListParagraph"/>
        <w:numPr>
          <w:ilvl w:val="0"/>
          <w:numId w:val="5"/>
        </w:numPr>
        <w:ind w:left="851" w:hanging="567"/>
        <w:rPr>
          <w:color w:val="auto"/>
          <w:sz w:val="22"/>
          <w:szCs w:val="22"/>
        </w:rPr>
      </w:pPr>
      <w:r>
        <w:rPr>
          <w:rFonts w:cs="Arial"/>
          <w:color w:val="auto"/>
        </w:rPr>
        <w:t xml:space="preserve">The </w:t>
      </w:r>
      <w:r w:rsidRPr="004415B7" w:rsidR="0743051B">
        <w:rPr>
          <w:rFonts w:cs="Arial"/>
          <w:color w:val="auto"/>
        </w:rPr>
        <w:t xml:space="preserve">HRA </w:t>
      </w:r>
      <w:r w:rsidRPr="004415B7" w:rsidR="2D646392">
        <w:rPr>
          <w:rFonts w:cs="Arial"/>
          <w:color w:val="auto"/>
        </w:rPr>
        <w:t xml:space="preserve">budgeted </w:t>
      </w:r>
      <w:r w:rsidRPr="004415B7" w:rsidR="007A5620">
        <w:rPr>
          <w:rFonts w:cs="Arial"/>
          <w:color w:val="auto"/>
        </w:rPr>
        <w:t>deficit</w:t>
      </w:r>
      <w:r w:rsidRPr="004415B7" w:rsidR="2D646392">
        <w:rPr>
          <w:rFonts w:cs="Arial"/>
          <w:color w:val="auto"/>
        </w:rPr>
        <w:t xml:space="preserve"> agreed</w:t>
      </w:r>
      <w:r w:rsidRPr="004415B7" w:rsidR="421DB164">
        <w:rPr>
          <w:rFonts w:cs="Arial"/>
          <w:color w:val="auto"/>
        </w:rPr>
        <w:t xml:space="preserve"> by the Council in February 202</w:t>
      </w:r>
      <w:r w:rsidRPr="004415B7" w:rsidR="0075305F">
        <w:rPr>
          <w:rFonts w:cs="Arial"/>
          <w:color w:val="auto"/>
        </w:rPr>
        <w:t>5</w:t>
      </w:r>
      <w:r w:rsidRPr="004415B7" w:rsidR="2D646392">
        <w:rPr>
          <w:rFonts w:cs="Arial"/>
          <w:color w:val="auto"/>
        </w:rPr>
        <w:t xml:space="preserve"> </w:t>
      </w:r>
      <w:r w:rsidRPr="004415B7" w:rsidR="00832F91">
        <w:rPr>
          <w:rFonts w:cs="Arial"/>
          <w:color w:val="auto"/>
        </w:rPr>
        <w:t xml:space="preserve">for </w:t>
      </w:r>
      <w:r w:rsidRPr="004415B7" w:rsidR="00864FAA">
        <w:rPr>
          <w:rFonts w:cs="Arial"/>
          <w:color w:val="auto"/>
        </w:rPr>
        <w:t>20</w:t>
      </w:r>
      <w:r w:rsidRPr="004415B7" w:rsidR="00832F91">
        <w:rPr>
          <w:rFonts w:cs="Arial"/>
          <w:color w:val="auto"/>
        </w:rPr>
        <w:t>2</w:t>
      </w:r>
      <w:r w:rsidRPr="004415B7" w:rsidR="0075305F">
        <w:rPr>
          <w:rFonts w:cs="Arial"/>
          <w:color w:val="auto"/>
        </w:rPr>
        <w:t>5</w:t>
      </w:r>
      <w:r w:rsidRPr="004415B7" w:rsidR="00832F91">
        <w:rPr>
          <w:rFonts w:cs="Arial"/>
          <w:color w:val="auto"/>
        </w:rPr>
        <w:t>/2</w:t>
      </w:r>
      <w:r w:rsidRPr="004415B7" w:rsidR="0075305F">
        <w:rPr>
          <w:rFonts w:cs="Arial"/>
          <w:color w:val="auto"/>
        </w:rPr>
        <w:t>6</w:t>
      </w:r>
      <w:r w:rsidRPr="004415B7" w:rsidR="00832F91">
        <w:rPr>
          <w:rFonts w:cs="Arial"/>
          <w:color w:val="auto"/>
        </w:rPr>
        <w:t xml:space="preserve"> </w:t>
      </w:r>
      <w:r w:rsidRPr="004415B7" w:rsidR="2D646392">
        <w:rPr>
          <w:rFonts w:cs="Arial"/>
          <w:color w:val="auto"/>
        </w:rPr>
        <w:t>was £</w:t>
      </w:r>
      <w:r w:rsidRPr="004415B7" w:rsidR="0075305F">
        <w:rPr>
          <w:rFonts w:cs="Arial"/>
          <w:color w:val="auto"/>
        </w:rPr>
        <w:t>2.603</w:t>
      </w:r>
      <w:r w:rsidRPr="004415B7" w:rsidR="00832F91">
        <w:rPr>
          <w:rFonts w:cs="Arial"/>
          <w:color w:val="auto"/>
        </w:rPr>
        <w:t>m</w:t>
      </w:r>
      <w:r w:rsidRPr="004415B7" w:rsidR="007111FA">
        <w:rPr>
          <w:rFonts w:cs="Arial"/>
          <w:color w:val="auto"/>
        </w:rPr>
        <w:t xml:space="preserve"> and the </w:t>
      </w:r>
      <w:r w:rsidRPr="004415B7" w:rsidR="00757B18">
        <w:rPr>
          <w:rFonts w:cs="Arial"/>
          <w:color w:val="auto"/>
        </w:rPr>
        <w:t xml:space="preserve">latest </w:t>
      </w:r>
      <w:r w:rsidRPr="004415B7" w:rsidR="000807C4">
        <w:rPr>
          <w:rFonts w:cs="Arial"/>
          <w:color w:val="auto"/>
        </w:rPr>
        <w:t xml:space="preserve">2025/26 </w:t>
      </w:r>
      <w:r w:rsidRPr="004415B7" w:rsidR="00757B18">
        <w:rPr>
          <w:rFonts w:cs="Arial"/>
          <w:color w:val="auto"/>
        </w:rPr>
        <w:t>budget</w:t>
      </w:r>
      <w:r w:rsidRPr="004415B7" w:rsidR="000807C4">
        <w:rPr>
          <w:rFonts w:cs="Arial"/>
          <w:color w:val="auto"/>
        </w:rPr>
        <w:t xml:space="preserve"> remains the same. The</w:t>
      </w:r>
      <w:r w:rsidRPr="004415B7" w:rsidR="00757B18">
        <w:rPr>
          <w:rFonts w:cs="Arial"/>
          <w:color w:val="auto"/>
        </w:rPr>
        <w:t xml:space="preserve"> </w:t>
      </w:r>
      <w:r w:rsidRPr="004415B7" w:rsidR="71D214C1">
        <w:rPr>
          <w:rFonts w:cs="Arial"/>
          <w:color w:val="auto"/>
        </w:rPr>
        <w:t xml:space="preserve">current forecast outturn </w:t>
      </w:r>
      <w:r w:rsidRPr="004415B7" w:rsidR="00757B18">
        <w:rPr>
          <w:rFonts w:cs="Arial"/>
          <w:color w:val="auto"/>
        </w:rPr>
        <w:t xml:space="preserve">for 2025/26 </w:t>
      </w:r>
      <w:r w:rsidRPr="004415B7" w:rsidR="000807C4">
        <w:rPr>
          <w:rFonts w:cs="Arial"/>
          <w:color w:val="auto"/>
        </w:rPr>
        <w:t xml:space="preserve">is </w:t>
      </w:r>
      <w:r w:rsidRPr="004415B7" w:rsidR="00A5769D">
        <w:rPr>
          <w:rFonts w:cs="Arial"/>
          <w:color w:val="auto"/>
        </w:rPr>
        <w:t xml:space="preserve">a deficit of </w:t>
      </w:r>
      <w:r w:rsidRPr="004415B7" w:rsidR="000807C4">
        <w:rPr>
          <w:rFonts w:cs="Arial"/>
          <w:color w:val="auto"/>
        </w:rPr>
        <w:t>£</w:t>
      </w:r>
      <w:r w:rsidRPr="004415B7" w:rsidR="00721CF9">
        <w:rPr>
          <w:rFonts w:cs="Arial"/>
          <w:color w:val="auto"/>
        </w:rPr>
        <w:t xml:space="preserve">2.514m, </w:t>
      </w:r>
      <w:r w:rsidRPr="004415B7" w:rsidR="00C71BC5">
        <w:rPr>
          <w:rFonts w:cs="Arial"/>
          <w:color w:val="auto"/>
        </w:rPr>
        <w:t xml:space="preserve">which gives a </w:t>
      </w:r>
      <w:r w:rsidRPr="004415B7" w:rsidR="00721CF9">
        <w:rPr>
          <w:rFonts w:cs="Arial"/>
          <w:color w:val="auto"/>
        </w:rPr>
        <w:t xml:space="preserve">favourable </w:t>
      </w:r>
      <w:r w:rsidRPr="004415B7" w:rsidR="009F1E00">
        <w:rPr>
          <w:rFonts w:cs="Arial"/>
          <w:color w:val="auto"/>
        </w:rPr>
        <w:t xml:space="preserve">forecast outturn </w:t>
      </w:r>
      <w:r w:rsidRPr="004415B7" w:rsidR="00721CF9">
        <w:rPr>
          <w:rFonts w:cs="Arial"/>
          <w:color w:val="auto"/>
        </w:rPr>
        <w:t xml:space="preserve">variance of </w:t>
      </w:r>
      <w:r w:rsidRPr="004415B7" w:rsidR="00C71BC5">
        <w:rPr>
          <w:rFonts w:cs="Arial"/>
          <w:color w:val="auto"/>
        </w:rPr>
        <w:t xml:space="preserve">£0.089m </w:t>
      </w:r>
      <w:proofErr w:type="gramStart"/>
      <w:r w:rsidRPr="004415B7" w:rsidR="00757B18">
        <w:rPr>
          <w:rFonts w:cs="Arial"/>
          <w:color w:val="auto"/>
        </w:rPr>
        <w:t>at</w:t>
      </w:r>
      <w:proofErr w:type="gramEnd"/>
      <w:r w:rsidRPr="004415B7" w:rsidR="00757B18">
        <w:rPr>
          <w:rFonts w:cs="Arial"/>
          <w:color w:val="auto"/>
        </w:rPr>
        <w:t xml:space="preserve"> 30 </w:t>
      </w:r>
      <w:r w:rsidRPr="004415B7" w:rsidR="00C71BC5">
        <w:rPr>
          <w:rFonts w:cs="Arial"/>
          <w:color w:val="auto"/>
        </w:rPr>
        <w:t>September</w:t>
      </w:r>
      <w:r w:rsidRPr="004415B7" w:rsidR="00757B18">
        <w:rPr>
          <w:rFonts w:cs="Arial"/>
          <w:color w:val="auto"/>
        </w:rPr>
        <w:t xml:space="preserve"> 2025.</w:t>
      </w:r>
      <w:r w:rsidRPr="004415B7" w:rsidR="00757B18">
        <w:t xml:space="preserve"> </w:t>
      </w:r>
    </w:p>
    <w:p w:rsidRPr="002E7969" w:rsidR="000747C5" w:rsidP="002E7969" w:rsidRDefault="006F3C32" w14:paraId="7C1FD22E" w14:textId="0BF185F7">
      <w:pPr>
        <w:pStyle w:val="ListParagraph"/>
        <w:numPr>
          <w:ilvl w:val="0"/>
          <w:numId w:val="5"/>
        </w:numPr>
        <w:ind w:left="851" w:hanging="567"/>
        <w:rPr>
          <w:rFonts w:cs="Arial"/>
          <w:color w:val="auto"/>
        </w:rPr>
      </w:pPr>
      <w:r w:rsidRPr="004415B7">
        <w:rPr>
          <w:rFonts w:cs="Arial"/>
          <w:color w:val="auto"/>
        </w:rPr>
        <w:t>At</w:t>
      </w:r>
      <w:r w:rsidRPr="004415B7" w:rsidR="00757B18">
        <w:rPr>
          <w:rFonts w:cs="Arial"/>
          <w:color w:val="auto"/>
        </w:rPr>
        <w:t xml:space="preserve"> Q</w:t>
      </w:r>
      <w:r w:rsidRPr="004415B7" w:rsidR="00733354">
        <w:rPr>
          <w:rFonts w:cs="Arial"/>
          <w:color w:val="auto"/>
        </w:rPr>
        <w:t xml:space="preserve">2 </w:t>
      </w:r>
      <w:r w:rsidRPr="004415B7" w:rsidR="00757B18">
        <w:rPr>
          <w:rFonts w:cs="Arial"/>
          <w:color w:val="auto"/>
        </w:rPr>
        <w:t>2025/26</w:t>
      </w:r>
      <w:r w:rsidRPr="004415B7">
        <w:rPr>
          <w:rFonts w:cs="Arial"/>
          <w:color w:val="auto"/>
        </w:rPr>
        <w:t>,</w:t>
      </w:r>
      <w:r w:rsidRPr="004415B7" w:rsidR="00733354">
        <w:rPr>
          <w:rFonts w:cs="Arial"/>
          <w:color w:val="auto"/>
        </w:rPr>
        <w:t xml:space="preserve"> </w:t>
      </w:r>
      <w:r w:rsidRPr="004415B7" w:rsidR="00757B18">
        <w:rPr>
          <w:rFonts w:cs="Arial"/>
          <w:color w:val="auto"/>
        </w:rPr>
        <w:t>the HRA currently ha</w:t>
      </w:r>
      <w:r w:rsidR="009A52A9">
        <w:rPr>
          <w:rFonts w:cs="Arial"/>
          <w:color w:val="auto"/>
        </w:rPr>
        <w:t>s</w:t>
      </w:r>
      <w:r w:rsidRPr="004415B7" w:rsidR="00757B18">
        <w:rPr>
          <w:rFonts w:cs="Arial"/>
          <w:color w:val="auto"/>
        </w:rPr>
        <w:t xml:space="preserve"> a favourable variance</w:t>
      </w:r>
      <w:r w:rsidRPr="004415B7" w:rsidR="001D6D42">
        <w:rPr>
          <w:rFonts w:cs="Arial"/>
          <w:color w:val="auto"/>
        </w:rPr>
        <w:t xml:space="preserve"> year to date </w:t>
      </w:r>
      <w:r w:rsidRPr="004415B7" w:rsidR="00757B18">
        <w:rPr>
          <w:rFonts w:cs="Arial"/>
          <w:color w:val="auto"/>
        </w:rPr>
        <w:t>to budget of £1.</w:t>
      </w:r>
      <w:r w:rsidRPr="004415B7" w:rsidR="001D6D42">
        <w:rPr>
          <w:rFonts w:cs="Arial"/>
          <w:color w:val="auto"/>
        </w:rPr>
        <w:t>398m main</w:t>
      </w:r>
      <w:r w:rsidRPr="004415B7" w:rsidR="00757B18">
        <w:rPr>
          <w:rFonts w:cs="Arial"/>
          <w:color w:val="auto"/>
        </w:rPr>
        <w:t xml:space="preserve">ly due an underspend on </w:t>
      </w:r>
      <w:r w:rsidR="009A52A9">
        <w:rPr>
          <w:rFonts w:cs="Arial"/>
          <w:color w:val="auto"/>
        </w:rPr>
        <w:t>r</w:t>
      </w:r>
      <w:r w:rsidRPr="004415B7" w:rsidR="00757B18">
        <w:rPr>
          <w:rFonts w:cs="Arial"/>
          <w:color w:val="auto"/>
        </w:rPr>
        <w:t xml:space="preserve">esponsive </w:t>
      </w:r>
      <w:r w:rsidR="009A52A9">
        <w:rPr>
          <w:rFonts w:cs="Arial"/>
          <w:color w:val="auto"/>
        </w:rPr>
        <w:t>and</w:t>
      </w:r>
      <w:r w:rsidRPr="004415B7" w:rsidR="00757B18">
        <w:rPr>
          <w:rFonts w:cs="Arial"/>
          <w:color w:val="auto"/>
        </w:rPr>
        <w:t xml:space="preserve"> </w:t>
      </w:r>
      <w:r w:rsidR="009A52A9">
        <w:rPr>
          <w:rFonts w:cs="Arial"/>
          <w:color w:val="auto"/>
        </w:rPr>
        <w:t>c</w:t>
      </w:r>
      <w:r w:rsidRPr="004415B7" w:rsidR="00757B18">
        <w:rPr>
          <w:rFonts w:cs="Arial"/>
          <w:color w:val="auto"/>
        </w:rPr>
        <w:t xml:space="preserve">yclical </w:t>
      </w:r>
      <w:r w:rsidR="009A52A9">
        <w:rPr>
          <w:rFonts w:cs="Arial"/>
          <w:color w:val="auto"/>
        </w:rPr>
        <w:t>r</w:t>
      </w:r>
      <w:r w:rsidRPr="004415B7" w:rsidR="00757B18">
        <w:rPr>
          <w:rFonts w:cs="Arial"/>
          <w:color w:val="auto"/>
        </w:rPr>
        <w:t xml:space="preserve">epairs; the budget for this expenditure category has been increased from 2024/25 and it is expected to be fully spent by 31 March 2026. </w:t>
      </w:r>
    </w:p>
    <w:p w:rsidR="00DF49CB" w:rsidP="000747C5" w:rsidRDefault="39AF6AEC" w14:paraId="125A6107" w14:textId="3CE13AB0">
      <w:pPr>
        <w:ind w:left="851"/>
        <w:rPr>
          <w:color w:val="auto"/>
          <w:sz w:val="22"/>
          <w:szCs w:val="22"/>
        </w:rPr>
      </w:pPr>
      <w:r w:rsidRPr="004415B7">
        <w:rPr>
          <w:rFonts w:cs="Arial"/>
          <w:color w:val="auto"/>
        </w:rPr>
        <w:t xml:space="preserve">Reasons for the </w:t>
      </w:r>
      <w:r w:rsidRPr="004415B7" w:rsidR="00813A7D">
        <w:rPr>
          <w:rFonts w:cs="Arial"/>
          <w:color w:val="auto"/>
        </w:rPr>
        <w:t xml:space="preserve">current </w:t>
      </w:r>
      <w:r w:rsidRPr="51BEE4ED" w:rsidR="0B9A511E">
        <w:rPr>
          <w:rFonts w:cs="Arial"/>
          <w:color w:val="auto"/>
        </w:rPr>
        <w:t xml:space="preserve">year to date </w:t>
      </w:r>
      <w:r w:rsidRPr="004415B7">
        <w:rPr>
          <w:rFonts w:cs="Arial"/>
          <w:color w:val="auto"/>
        </w:rPr>
        <w:t>varia</w:t>
      </w:r>
      <w:r w:rsidRPr="004415B7" w:rsidR="004F5A13">
        <w:rPr>
          <w:rFonts w:cs="Arial"/>
          <w:color w:val="auto"/>
        </w:rPr>
        <w:t>nce of £</w:t>
      </w:r>
      <w:r w:rsidRPr="004415B7" w:rsidR="009F1E00">
        <w:rPr>
          <w:rFonts w:cs="Arial"/>
          <w:color w:val="auto"/>
        </w:rPr>
        <w:t>1.398m</w:t>
      </w:r>
      <w:r w:rsidRPr="004415B7" w:rsidR="00757B18">
        <w:rPr>
          <w:rFonts w:cs="Arial"/>
          <w:color w:val="auto"/>
        </w:rPr>
        <w:t xml:space="preserve"> </w:t>
      </w:r>
      <w:r w:rsidRPr="004415B7">
        <w:rPr>
          <w:rFonts w:cs="Arial"/>
          <w:color w:val="auto"/>
        </w:rPr>
        <w:t>include:</w:t>
      </w:r>
    </w:p>
    <w:p w:rsidRPr="004415B7" w:rsidR="00757B18" w:rsidP="003E0DDB" w:rsidRDefault="39AF6AEC" w14:paraId="1C3FBBC1" w14:textId="7E1D48F9">
      <w:pPr>
        <w:ind w:left="851"/>
        <w:rPr>
          <w:color w:val="auto"/>
        </w:rPr>
      </w:pPr>
      <w:r w:rsidRPr="004415B7">
        <w:rPr>
          <w:b/>
          <w:bCs/>
          <w:color w:val="auto"/>
          <w:u w:val="single"/>
        </w:rPr>
        <w:t>Income</w:t>
      </w:r>
      <w:r w:rsidRPr="004415B7">
        <w:rPr>
          <w:b/>
          <w:bCs/>
          <w:color w:val="auto"/>
        </w:rPr>
        <w:t xml:space="preserve"> – </w:t>
      </w:r>
      <w:r w:rsidRPr="004415B7" w:rsidR="00E51CEC">
        <w:rPr>
          <w:color w:val="auto"/>
        </w:rPr>
        <w:t>2</w:t>
      </w:r>
      <w:r w:rsidRPr="004415B7" w:rsidR="00757B18">
        <w:rPr>
          <w:color w:val="auto"/>
        </w:rPr>
        <w:t xml:space="preserve">Q 2025/26 </w:t>
      </w:r>
      <w:r w:rsidRPr="004415B7" w:rsidR="000B2381">
        <w:rPr>
          <w:color w:val="auto"/>
        </w:rPr>
        <w:t>y</w:t>
      </w:r>
      <w:r w:rsidR="00DD616F">
        <w:rPr>
          <w:color w:val="auto"/>
        </w:rPr>
        <w:t>ear to date</w:t>
      </w:r>
      <w:r w:rsidRPr="004415B7" w:rsidR="000B2381">
        <w:rPr>
          <w:color w:val="auto"/>
        </w:rPr>
        <w:t xml:space="preserve"> </w:t>
      </w:r>
      <w:r w:rsidRPr="004415B7" w:rsidR="00757B18">
        <w:rPr>
          <w:color w:val="auto"/>
        </w:rPr>
        <w:t>actual income of £</w:t>
      </w:r>
      <w:r w:rsidRPr="004415B7" w:rsidR="00E51CEC">
        <w:rPr>
          <w:color w:val="auto"/>
        </w:rPr>
        <w:t>30.</w:t>
      </w:r>
      <w:r w:rsidRPr="004415B7" w:rsidR="00B10DA0">
        <w:rPr>
          <w:color w:val="auto"/>
        </w:rPr>
        <w:t>4</w:t>
      </w:r>
      <w:r w:rsidRPr="004415B7" w:rsidR="004C0562">
        <w:rPr>
          <w:color w:val="auto"/>
        </w:rPr>
        <w:t>69</w:t>
      </w:r>
      <w:r w:rsidRPr="004415B7" w:rsidR="00B10DA0">
        <w:rPr>
          <w:color w:val="auto"/>
        </w:rPr>
        <w:t xml:space="preserve">m </w:t>
      </w:r>
      <w:r w:rsidRPr="004415B7" w:rsidR="00757B18">
        <w:rPr>
          <w:color w:val="auto"/>
        </w:rPr>
        <w:t xml:space="preserve">is </w:t>
      </w:r>
      <w:r w:rsidRPr="004415B7" w:rsidR="00B10DA0">
        <w:rPr>
          <w:color w:val="auto"/>
        </w:rPr>
        <w:t xml:space="preserve">higher than the </w:t>
      </w:r>
      <w:r w:rsidRPr="004415B7" w:rsidR="00757B18">
        <w:rPr>
          <w:color w:val="auto"/>
        </w:rPr>
        <w:t>corresponding budget of £</w:t>
      </w:r>
      <w:r w:rsidRPr="004415B7" w:rsidR="00B10DA0">
        <w:rPr>
          <w:color w:val="auto"/>
        </w:rPr>
        <w:t xml:space="preserve">30.257m </w:t>
      </w:r>
      <w:r w:rsidRPr="004415B7" w:rsidR="00757B18">
        <w:rPr>
          <w:color w:val="auto"/>
        </w:rPr>
        <w:t>by £0.2</w:t>
      </w:r>
      <w:r w:rsidRPr="004415B7" w:rsidR="00B10DA0">
        <w:rPr>
          <w:color w:val="auto"/>
        </w:rPr>
        <w:t>12</w:t>
      </w:r>
      <w:r w:rsidRPr="004415B7" w:rsidR="00757B18">
        <w:rPr>
          <w:color w:val="auto"/>
        </w:rPr>
        <w:t>m due to:</w:t>
      </w:r>
    </w:p>
    <w:p w:rsidRPr="004415B7" w:rsidR="00757B18" w:rsidP="00E9219E" w:rsidRDefault="00757B18" w14:paraId="5E477FF1" w14:textId="4AF7F5B5">
      <w:pPr>
        <w:pStyle w:val="ListParagraph"/>
        <w:numPr>
          <w:ilvl w:val="1"/>
          <w:numId w:val="10"/>
        </w:numPr>
        <w:ind w:left="1134" w:hanging="283"/>
        <w:rPr>
          <w:color w:val="000000" w:themeColor="text1"/>
        </w:rPr>
      </w:pPr>
      <w:r w:rsidRPr="004415B7">
        <w:rPr>
          <w:color w:val="000000" w:themeColor="text1"/>
        </w:rPr>
        <w:lastRenderedPageBreak/>
        <w:t xml:space="preserve">Dwelling </w:t>
      </w:r>
      <w:r w:rsidR="00412CD7">
        <w:rPr>
          <w:color w:val="000000" w:themeColor="text1"/>
        </w:rPr>
        <w:t>r</w:t>
      </w:r>
      <w:r w:rsidRPr="004415B7">
        <w:rPr>
          <w:color w:val="000000" w:themeColor="text1"/>
        </w:rPr>
        <w:t>ent underachieving by £0.</w:t>
      </w:r>
      <w:r w:rsidRPr="004415B7" w:rsidR="004C0562">
        <w:rPr>
          <w:color w:val="000000" w:themeColor="text1"/>
        </w:rPr>
        <w:t>264</w:t>
      </w:r>
      <w:r w:rsidRPr="004415B7">
        <w:rPr>
          <w:color w:val="000000" w:themeColor="text1"/>
        </w:rPr>
        <w:t>m</w:t>
      </w:r>
      <w:r w:rsidRPr="004415B7" w:rsidR="00E9219E">
        <w:rPr>
          <w:color w:val="000000" w:themeColor="text1"/>
        </w:rPr>
        <w:t xml:space="preserve"> due to the timings of the acquisition of new homes which generate rental income, which is included in the base budget</w:t>
      </w:r>
      <w:r w:rsidRPr="51BEE4ED" w:rsidR="71ACA572">
        <w:rPr>
          <w:color w:val="000000" w:themeColor="text1"/>
        </w:rPr>
        <w:t xml:space="preserve"> offset by :</w:t>
      </w:r>
    </w:p>
    <w:p w:rsidRPr="003631B3" w:rsidR="00757B18" w:rsidP="003631B3" w:rsidRDefault="00F441AA" w14:paraId="780422B4" w14:textId="095D9CB1">
      <w:pPr>
        <w:pStyle w:val="ListParagraph"/>
        <w:numPr>
          <w:ilvl w:val="2"/>
          <w:numId w:val="8"/>
        </w:numPr>
        <w:tabs>
          <w:tab w:val="clear" w:pos="426"/>
        </w:tabs>
        <w:ind w:left="1418" w:hanging="302"/>
      </w:pPr>
      <w:r w:rsidRPr="003631B3">
        <w:t xml:space="preserve">An increase to </w:t>
      </w:r>
      <w:r w:rsidR="008D1A79">
        <w:t>s</w:t>
      </w:r>
      <w:r w:rsidRPr="003631B3">
        <w:t xml:space="preserve">ervice </w:t>
      </w:r>
      <w:r w:rsidR="008D1A79">
        <w:t>c</w:t>
      </w:r>
      <w:r w:rsidRPr="003631B3">
        <w:t xml:space="preserve">harges and </w:t>
      </w:r>
      <w:r w:rsidR="008D1A79">
        <w:t>g</w:t>
      </w:r>
      <w:r w:rsidRPr="003631B3">
        <w:t>arages income</w:t>
      </w:r>
      <w:r w:rsidRPr="003631B3" w:rsidR="0047637C">
        <w:t>.</w:t>
      </w:r>
      <w:r w:rsidRPr="003631B3">
        <w:t xml:space="preserve"> Service </w:t>
      </w:r>
      <w:r w:rsidR="008D1A79">
        <w:t>c</w:t>
      </w:r>
      <w:r w:rsidRPr="003631B3">
        <w:t>harges</w:t>
      </w:r>
      <w:r w:rsidR="00745C81">
        <w:t xml:space="preserve"> budget</w:t>
      </w:r>
      <w:r w:rsidRPr="003631B3">
        <w:t xml:space="preserve"> has an additional income of £</w:t>
      </w:r>
      <w:r w:rsidRPr="003631B3" w:rsidR="0047637C">
        <w:t>0.3m</w:t>
      </w:r>
      <w:r w:rsidRPr="003631B3">
        <w:t xml:space="preserve"> from actuals compared to estimates</w:t>
      </w:r>
      <w:r w:rsidR="0026796E">
        <w:t>.</w:t>
      </w:r>
    </w:p>
    <w:p w:rsidRPr="003631B3" w:rsidR="00757B18" w:rsidP="003631B3" w:rsidRDefault="00757B18" w14:paraId="51B451A5" w14:textId="1F017B03">
      <w:pPr>
        <w:pStyle w:val="ListParagraph"/>
        <w:numPr>
          <w:ilvl w:val="2"/>
          <w:numId w:val="8"/>
        </w:numPr>
        <w:tabs>
          <w:tab w:val="clear" w:pos="426"/>
        </w:tabs>
        <w:ind w:left="1418" w:hanging="302"/>
      </w:pPr>
      <w:r w:rsidRPr="003631B3">
        <w:t>A</w:t>
      </w:r>
      <w:r w:rsidRPr="003631B3" w:rsidR="000943C7">
        <w:t>n i</w:t>
      </w:r>
      <w:r w:rsidRPr="003631B3">
        <w:t xml:space="preserve">ncrease to </w:t>
      </w:r>
      <w:r w:rsidR="0015680D">
        <w:t>m</w:t>
      </w:r>
      <w:r w:rsidRPr="003631B3">
        <w:t xml:space="preserve">iscellaneous </w:t>
      </w:r>
      <w:r w:rsidR="0015680D">
        <w:t>i</w:t>
      </w:r>
      <w:r w:rsidRPr="003631B3">
        <w:t xml:space="preserve">ncome from: </w:t>
      </w:r>
      <w:r w:rsidR="0015680D">
        <w:t>l</w:t>
      </w:r>
      <w:r w:rsidRPr="003631B3">
        <w:t>eased properties rental</w:t>
      </w:r>
      <w:r w:rsidRPr="003631B3" w:rsidR="00680FE1">
        <w:t xml:space="preserve"> </w:t>
      </w:r>
      <w:r w:rsidRPr="003631B3" w:rsidR="000943C7">
        <w:t>£0.061m</w:t>
      </w:r>
      <w:r w:rsidRPr="003631B3" w:rsidR="008E7D76">
        <w:t xml:space="preserve">, </w:t>
      </w:r>
      <w:r w:rsidR="0015680D">
        <w:t>l</w:t>
      </w:r>
      <w:r w:rsidRPr="003631B3">
        <w:t>ease assignments £</w:t>
      </w:r>
      <w:r w:rsidRPr="003631B3" w:rsidR="00680FE1">
        <w:t>0.04</w:t>
      </w:r>
      <w:r w:rsidRPr="003631B3" w:rsidR="008E7D76">
        <w:t>2</w:t>
      </w:r>
      <w:r w:rsidRPr="003631B3" w:rsidR="00680FE1">
        <w:t>m</w:t>
      </w:r>
      <w:r w:rsidRPr="003631B3">
        <w:t xml:space="preserve">, less </w:t>
      </w:r>
      <w:r w:rsidRPr="003631B3" w:rsidR="00D76FCA">
        <w:t>£0.013m pressure on</w:t>
      </w:r>
      <w:r w:rsidR="0015680D">
        <w:t xml:space="preserve"> the</w:t>
      </w:r>
      <w:r w:rsidRPr="003631B3" w:rsidR="00D76FCA">
        <w:t xml:space="preserve"> </w:t>
      </w:r>
      <w:r w:rsidR="0015680D">
        <w:t>f</w:t>
      </w:r>
      <w:r w:rsidRPr="003631B3" w:rsidR="00D76FCA">
        <w:t>urn</w:t>
      </w:r>
      <w:r w:rsidRPr="003631B3">
        <w:t xml:space="preserve">ished </w:t>
      </w:r>
      <w:r w:rsidR="0015680D">
        <w:t>t</w:t>
      </w:r>
      <w:r w:rsidRPr="003631B3">
        <w:t>enancies</w:t>
      </w:r>
      <w:r w:rsidR="0015680D">
        <w:t xml:space="preserve"> budget</w:t>
      </w:r>
      <w:r w:rsidRPr="003631B3" w:rsidR="00092362">
        <w:t>.</w:t>
      </w:r>
    </w:p>
    <w:p w:rsidRPr="004415B7" w:rsidR="00757B18" w:rsidP="003E0DDB" w:rsidRDefault="00757B18" w14:paraId="2BE031D3" w14:textId="626F702B">
      <w:pPr>
        <w:ind w:left="851"/>
      </w:pPr>
      <w:r w:rsidRPr="004415B7">
        <w:rPr>
          <w:b/>
          <w:bCs/>
          <w:u w:val="single"/>
        </w:rPr>
        <w:t>Expenditure</w:t>
      </w:r>
      <w:r w:rsidRPr="004415B7">
        <w:t xml:space="preserve"> - </w:t>
      </w:r>
      <w:r w:rsidRPr="004415B7" w:rsidR="00956B53">
        <w:t>2</w:t>
      </w:r>
      <w:r w:rsidRPr="004415B7">
        <w:t xml:space="preserve">Q 2025/26 </w:t>
      </w:r>
      <w:r w:rsidRPr="004415B7" w:rsidR="000B2381">
        <w:t>y</w:t>
      </w:r>
      <w:r w:rsidR="009C4B6E">
        <w:t>ear to date</w:t>
      </w:r>
      <w:r w:rsidRPr="004415B7" w:rsidR="000B2381">
        <w:t xml:space="preserve"> </w:t>
      </w:r>
      <w:r w:rsidRPr="004415B7">
        <w:t>actual expenditure of £</w:t>
      </w:r>
      <w:r w:rsidRPr="004415B7" w:rsidR="000B2381">
        <w:t>14.71</w:t>
      </w:r>
      <w:r w:rsidRPr="004415B7">
        <w:t>m is lower than the corresponding budget of £</w:t>
      </w:r>
      <w:r w:rsidRPr="004415B7" w:rsidR="00FD6E3F">
        <w:t>15.897</w:t>
      </w:r>
      <w:r w:rsidRPr="004415B7">
        <w:t>m by £1.</w:t>
      </w:r>
      <w:r w:rsidRPr="004415B7" w:rsidR="00FD6E3F">
        <w:t>186</w:t>
      </w:r>
      <w:r w:rsidRPr="004415B7">
        <w:t>m. This is attributed to:</w:t>
      </w:r>
    </w:p>
    <w:p w:rsidRPr="004415B7" w:rsidR="00680FE1" w:rsidP="00B55494" w:rsidRDefault="00680FE1" w14:paraId="22800A04" w14:textId="28F9DEAB">
      <w:pPr>
        <w:pStyle w:val="ListParagraph"/>
        <w:numPr>
          <w:ilvl w:val="1"/>
          <w:numId w:val="10"/>
        </w:numPr>
        <w:ind w:left="1134" w:hanging="283"/>
        <w:rPr>
          <w:color w:val="000000" w:themeColor="text1"/>
        </w:rPr>
      </w:pPr>
      <w:r w:rsidRPr="004415B7">
        <w:rPr>
          <w:b/>
          <w:bCs/>
          <w:color w:val="000000" w:themeColor="text1"/>
        </w:rPr>
        <w:t xml:space="preserve">Management and </w:t>
      </w:r>
      <w:r w:rsidR="00F87359">
        <w:rPr>
          <w:b/>
          <w:bCs/>
          <w:color w:val="000000" w:themeColor="text1"/>
        </w:rPr>
        <w:t>s</w:t>
      </w:r>
      <w:r w:rsidRPr="004415B7">
        <w:rPr>
          <w:b/>
          <w:bCs/>
          <w:color w:val="000000" w:themeColor="text1"/>
        </w:rPr>
        <w:t>ervices (</w:t>
      </w:r>
      <w:r w:rsidR="00F87359">
        <w:rPr>
          <w:b/>
          <w:bCs/>
          <w:color w:val="000000" w:themeColor="text1"/>
        </w:rPr>
        <w:t>s</w:t>
      </w:r>
      <w:r w:rsidRPr="004415B7">
        <w:rPr>
          <w:b/>
          <w:bCs/>
          <w:color w:val="000000" w:themeColor="text1"/>
        </w:rPr>
        <w:t xml:space="preserve">tock </w:t>
      </w:r>
      <w:r w:rsidR="00F87359">
        <w:rPr>
          <w:b/>
          <w:bCs/>
          <w:color w:val="000000" w:themeColor="text1"/>
        </w:rPr>
        <w:t>r</w:t>
      </w:r>
      <w:r w:rsidRPr="004415B7">
        <w:rPr>
          <w:b/>
          <w:bCs/>
          <w:color w:val="000000" w:themeColor="text1"/>
        </w:rPr>
        <w:t>elated)</w:t>
      </w:r>
      <w:r w:rsidRPr="004415B7">
        <w:rPr>
          <w:color w:val="000000" w:themeColor="text1"/>
        </w:rPr>
        <w:t xml:space="preserve"> is currently underspent by £0.</w:t>
      </w:r>
      <w:r w:rsidRPr="004415B7" w:rsidR="00151215">
        <w:rPr>
          <w:color w:val="000000" w:themeColor="text1"/>
        </w:rPr>
        <w:t>059</w:t>
      </w:r>
      <w:r w:rsidRPr="004415B7">
        <w:rPr>
          <w:color w:val="000000" w:themeColor="text1"/>
        </w:rPr>
        <w:t>m, due to:</w:t>
      </w:r>
    </w:p>
    <w:p w:rsidRPr="004415B7" w:rsidR="00680FE1" w:rsidP="00B55494" w:rsidRDefault="000B5DEC" w14:paraId="250CF886" w14:textId="41CCCFF4">
      <w:pPr>
        <w:pStyle w:val="ListParagraph"/>
        <w:numPr>
          <w:ilvl w:val="2"/>
          <w:numId w:val="8"/>
        </w:numPr>
        <w:tabs>
          <w:tab w:val="clear" w:pos="426"/>
        </w:tabs>
        <w:ind w:left="1418" w:hanging="302"/>
      </w:pPr>
      <w:r w:rsidRPr="004415B7">
        <w:t>S</w:t>
      </w:r>
      <w:r w:rsidRPr="004415B7" w:rsidR="00680FE1">
        <w:t>alaries</w:t>
      </w:r>
      <w:r w:rsidRPr="004415B7">
        <w:t xml:space="preserve"> pressure </w:t>
      </w:r>
      <w:r w:rsidRPr="004415B7" w:rsidR="00680FE1">
        <w:t>of £0.</w:t>
      </w:r>
      <w:r w:rsidRPr="004415B7">
        <w:t>020</w:t>
      </w:r>
      <w:r w:rsidRPr="004415B7" w:rsidR="00680FE1">
        <w:t>m</w:t>
      </w:r>
      <w:r w:rsidRPr="004415B7" w:rsidR="00B134A6">
        <w:t xml:space="preserve">; </w:t>
      </w:r>
      <w:r w:rsidRPr="004415B7" w:rsidR="00350A26">
        <w:t xml:space="preserve">there are several vacant posts across the </w:t>
      </w:r>
      <w:r w:rsidR="00F87359">
        <w:t>service</w:t>
      </w:r>
      <w:r w:rsidRPr="004415B7" w:rsidR="007A4F07">
        <w:t xml:space="preserve"> including</w:t>
      </w:r>
      <w:r w:rsidRPr="004415B7" w:rsidR="00350A26">
        <w:t xml:space="preserve"> savings from </w:t>
      </w:r>
      <w:r w:rsidR="007E5F16">
        <w:t xml:space="preserve">the </w:t>
      </w:r>
      <w:r w:rsidRPr="004415B7" w:rsidR="00350A26">
        <w:t xml:space="preserve">Landlord Services </w:t>
      </w:r>
      <w:r w:rsidR="007E5F16">
        <w:t xml:space="preserve">Team </w:t>
      </w:r>
      <w:r w:rsidRPr="004415B7" w:rsidR="00350A26">
        <w:t>restructure £</w:t>
      </w:r>
      <w:r w:rsidRPr="004415B7" w:rsidR="00FD6E3D">
        <w:t>0.</w:t>
      </w:r>
      <w:r w:rsidRPr="004415B7" w:rsidR="00350A26">
        <w:t>336</w:t>
      </w:r>
      <w:r w:rsidRPr="004415B7" w:rsidR="00FD6E3D">
        <w:t>m</w:t>
      </w:r>
      <w:r w:rsidRPr="004415B7" w:rsidR="00350A26">
        <w:t>, various recharged posts that are currently vacant £</w:t>
      </w:r>
      <w:r w:rsidRPr="004415B7" w:rsidR="00FD6E3D">
        <w:t>0.0</w:t>
      </w:r>
      <w:r w:rsidRPr="004415B7" w:rsidR="00350A26">
        <w:t>97</w:t>
      </w:r>
      <w:r w:rsidRPr="004415B7" w:rsidR="00FD6E3D">
        <w:t>m</w:t>
      </w:r>
      <w:r w:rsidRPr="004415B7" w:rsidR="00350A26">
        <w:t>, savings</w:t>
      </w:r>
      <w:r w:rsidR="007E5F16">
        <w:t xml:space="preserve"> in the</w:t>
      </w:r>
      <w:r w:rsidRPr="004415B7" w:rsidR="00350A26">
        <w:t xml:space="preserve"> Rent Team £</w:t>
      </w:r>
      <w:r w:rsidRPr="004415B7" w:rsidR="00FD6E3D">
        <w:t>0.0</w:t>
      </w:r>
      <w:r w:rsidRPr="004415B7" w:rsidR="00350A26">
        <w:t>60</w:t>
      </w:r>
      <w:r w:rsidRPr="004415B7" w:rsidR="00FD6E3D">
        <w:t>m</w:t>
      </w:r>
      <w:r w:rsidRPr="004415B7" w:rsidR="00AF59B9">
        <w:t xml:space="preserve">. This is offset by </w:t>
      </w:r>
      <w:r w:rsidRPr="004415B7" w:rsidR="0081059A">
        <w:t xml:space="preserve">pressures of </w:t>
      </w:r>
      <w:r w:rsidRPr="004415B7" w:rsidR="00350A26">
        <w:t>£</w:t>
      </w:r>
      <w:r w:rsidRPr="004415B7" w:rsidR="0081059A">
        <w:t>0.</w:t>
      </w:r>
      <w:r w:rsidRPr="004415B7" w:rsidR="00350A26">
        <w:t>513</w:t>
      </w:r>
      <w:r w:rsidRPr="004415B7" w:rsidR="0081059A">
        <w:t>m</w:t>
      </w:r>
      <w:r w:rsidRPr="004415B7" w:rsidR="002A43D8">
        <w:t xml:space="preserve"> for</w:t>
      </w:r>
      <w:r w:rsidRPr="004415B7" w:rsidR="00350A26">
        <w:t xml:space="preserve"> staff recharges from </w:t>
      </w:r>
      <w:r w:rsidRPr="004415B7" w:rsidR="002A43D8">
        <w:t xml:space="preserve">General Fund </w:t>
      </w:r>
      <w:r w:rsidRPr="004415B7" w:rsidR="00350A26">
        <w:t xml:space="preserve">Property Services for the provision of </w:t>
      </w:r>
      <w:r w:rsidR="00D90B85">
        <w:t>r</w:t>
      </w:r>
      <w:r w:rsidRPr="004415B7" w:rsidR="00350A26">
        <w:t xml:space="preserve">epairs </w:t>
      </w:r>
      <w:r w:rsidR="00D90B85">
        <w:t>and</w:t>
      </w:r>
      <w:r w:rsidRPr="004415B7" w:rsidR="00350A26">
        <w:t xml:space="preserve"> </w:t>
      </w:r>
      <w:r w:rsidR="00D90B85">
        <w:t>m</w:t>
      </w:r>
      <w:r w:rsidRPr="004415B7" w:rsidR="00350A26">
        <w:t>aintenance support</w:t>
      </w:r>
      <w:r w:rsidRPr="004415B7" w:rsidR="002A43D8">
        <w:t xml:space="preserve">. </w:t>
      </w:r>
    </w:p>
    <w:p w:rsidRPr="004415B7" w:rsidR="00680FE1" w:rsidP="00FF169A" w:rsidRDefault="00BA1643" w14:paraId="7DA6E193" w14:textId="25C22413">
      <w:pPr>
        <w:pStyle w:val="ListParagraph"/>
        <w:numPr>
          <w:ilvl w:val="2"/>
          <w:numId w:val="8"/>
        </w:numPr>
        <w:tabs>
          <w:tab w:val="clear" w:pos="426"/>
        </w:tabs>
        <w:ind w:left="1418" w:hanging="302"/>
      </w:pPr>
      <w:r w:rsidRPr="004415B7">
        <w:t>Overspends on supplies and services £0.065m</w:t>
      </w:r>
      <w:r w:rsidRPr="004415B7" w:rsidR="00F03EA9">
        <w:t>;</w:t>
      </w:r>
      <w:r w:rsidRPr="004415B7">
        <w:t xml:space="preserve"> </w:t>
      </w:r>
      <w:r w:rsidRPr="004415B7" w:rsidR="00F03EA9">
        <w:t xml:space="preserve">Council </w:t>
      </w:r>
      <w:r w:rsidR="007E5F16">
        <w:t>T</w:t>
      </w:r>
      <w:r w:rsidRPr="004415B7" w:rsidR="00F03EA9">
        <w:t>ax payments on void properties, some of which will be refunded as the properties are relet</w:t>
      </w:r>
      <w:r w:rsidRPr="004415B7" w:rsidR="00FF169A">
        <w:t>, £</w:t>
      </w:r>
      <w:r w:rsidRPr="004415B7" w:rsidR="00A17140">
        <w:t xml:space="preserve">0.223m; </w:t>
      </w:r>
      <w:r w:rsidRPr="004415B7" w:rsidR="0032127D">
        <w:t>Service Charges on leasehold properties £0.037m</w:t>
      </w:r>
    </w:p>
    <w:p w:rsidRPr="004415B7" w:rsidR="005A0B88" w:rsidP="005A0B88" w:rsidRDefault="005A0B88" w14:paraId="701FC457" w14:textId="77777777">
      <w:pPr>
        <w:pStyle w:val="ListParagraph"/>
        <w:numPr>
          <w:ilvl w:val="2"/>
          <w:numId w:val="8"/>
        </w:numPr>
        <w:tabs>
          <w:tab w:val="clear" w:pos="426"/>
        </w:tabs>
        <w:ind w:left="1418" w:hanging="302"/>
      </w:pPr>
      <w:r w:rsidRPr="004415B7">
        <w:t>Savings of £0.403m on utilities</w:t>
      </w:r>
    </w:p>
    <w:p w:rsidRPr="004415B7" w:rsidR="009F0C23" w:rsidRDefault="00D465AD" w14:paraId="516F2876" w14:textId="537D4966">
      <w:pPr>
        <w:pStyle w:val="ListParagraph"/>
        <w:numPr>
          <w:ilvl w:val="1"/>
          <w:numId w:val="10"/>
        </w:numPr>
        <w:ind w:left="1134" w:hanging="283"/>
        <w:rPr>
          <w:color w:val="000000" w:themeColor="text1"/>
        </w:rPr>
      </w:pPr>
      <w:r w:rsidRPr="004415B7">
        <w:rPr>
          <w:b/>
          <w:bCs/>
          <w:color w:val="000000" w:themeColor="text1"/>
        </w:rPr>
        <w:t xml:space="preserve">Other </w:t>
      </w:r>
      <w:r w:rsidR="00A81EC0">
        <w:rPr>
          <w:b/>
          <w:bCs/>
          <w:color w:val="000000" w:themeColor="text1"/>
        </w:rPr>
        <w:t>r</w:t>
      </w:r>
      <w:r w:rsidRPr="004415B7">
        <w:rPr>
          <w:b/>
          <w:bCs/>
          <w:color w:val="000000" w:themeColor="text1"/>
        </w:rPr>
        <w:t xml:space="preserve">evenue </w:t>
      </w:r>
      <w:r w:rsidR="00A81EC0">
        <w:rPr>
          <w:b/>
          <w:bCs/>
          <w:color w:val="000000" w:themeColor="text1"/>
        </w:rPr>
        <w:t>s</w:t>
      </w:r>
      <w:r w:rsidRPr="004415B7">
        <w:rPr>
          <w:b/>
          <w:bCs/>
          <w:color w:val="000000" w:themeColor="text1"/>
        </w:rPr>
        <w:t>pend (</w:t>
      </w:r>
      <w:r w:rsidR="00A81EC0">
        <w:rPr>
          <w:b/>
          <w:bCs/>
          <w:color w:val="000000" w:themeColor="text1"/>
        </w:rPr>
        <w:t>s</w:t>
      </w:r>
      <w:r w:rsidRPr="004415B7">
        <w:rPr>
          <w:b/>
          <w:bCs/>
          <w:color w:val="000000" w:themeColor="text1"/>
        </w:rPr>
        <w:t xml:space="preserve">tock </w:t>
      </w:r>
      <w:r w:rsidR="00A81EC0">
        <w:rPr>
          <w:b/>
          <w:bCs/>
          <w:color w:val="000000" w:themeColor="text1"/>
        </w:rPr>
        <w:t>r</w:t>
      </w:r>
      <w:r w:rsidRPr="004415B7">
        <w:rPr>
          <w:b/>
          <w:bCs/>
          <w:color w:val="000000" w:themeColor="text1"/>
        </w:rPr>
        <w:t>elated)</w:t>
      </w:r>
      <w:r w:rsidRPr="004415B7" w:rsidR="004839D2">
        <w:rPr>
          <w:b/>
          <w:bCs/>
          <w:color w:val="000000" w:themeColor="text1"/>
        </w:rPr>
        <w:t xml:space="preserve"> </w:t>
      </w:r>
      <w:r w:rsidRPr="004415B7" w:rsidR="004839D2">
        <w:rPr>
          <w:color w:val="000000" w:themeColor="text1"/>
        </w:rPr>
        <w:t>is currently underspent</w:t>
      </w:r>
      <w:r w:rsidRPr="004415B7" w:rsidR="00993C06">
        <w:rPr>
          <w:color w:val="000000" w:themeColor="text1"/>
        </w:rPr>
        <w:t xml:space="preserve"> by </w:t>
      </w:r>
      <w:r w:rsidRPr="004415B7" w:rsidR="004839D2">
        <w:rPr>
          <w:color w:val="000000" w:themeColor="text1"/>
        </w:rPr>
        <w:t>£</w:t>
      </w:r>
      <w:r w:rsidRPr="004415B7" w:rsidR="001F7AB8">
        <w:rPr>
          <w:color w:val="000000" w:themeColor="text1"/>
        </w:rPr>
        <w:t>8k</w:t>
      </w:r>
      <w:r w:rsidRPr="004415B7" w:rsidR="00993C06">
        <w:rPr>
          <w:color w:val="000000" w:themeColor="text1"/>
        </w:rPr>
        <w:t xml:space="preserve"> arising from </w:t>
      </w:r>
      <w:r w:rsidR="00A81EC0">
        <w:rPr>
          <w:color w:val="000000" w:themeColor="text1"/>
        </w:rPr>
        <w:t xml:space="preserve">a </w:t>
      </w:r>
      <w:r w:rsidRPr="004415B7" w:rsidR="000239F3">
        <w:rPr>
          <w:color w:val="000000" w:themeColor="text1"/>
        </w:rPr>
        <w:t xml:space="preserve">saving from Rent Sense </w:t>
      </w:r>
      <w:r w:rsidRPr="004415B7" w:rsidR="00684474">
        <w:rPr>
          <w:color w:val="000000" w:themeColor="text1"/>
        </w:rPr>
        <w:t>£0.032m</w:t>
      </w:r>
      <w:r w:rsidRPr="004415B7" w:rsidR="008B0487">
        <w:rPr>
          <w:color w:val="000000" w:themeColor="text1"/>
        </w:rPr>
        <w:t>,</w:t>
      </w:r>
      <w:r w:rsidRPr="004415B7" w:rsidR="000239F3">
        <w:rPr>
          <w:color w:val="000000" w:themeColor="text1"/>
        </w:rPr>
        <w:t xml:space="preserve"> consultants</w:t>
      </w:r>
      <w:r w:rsidRPr="004415B7" w:rsidR="008B0487">
        <w:rPr>
          <w:color w:val="000000" w:themeColor="text1"/>
        </w:rPr>
        <w:t xml:space="preserve"> £0.015m and </w:t>
      </w:r>
      <w:r w:rsidRPr="004415B7" w:rsidR="004374DE">
        <w:rPr>
          <w:color w:val="000000" w:themeColor="text1"/>
        </w:rPr>
        <w:t xml:space="preserve">EV </w:t>
      </w:r>
      <w:r w:rsidR="00C91819">
        <w:rPr>
          <w:color w:val="000000" w:themeColor="text1"/>
        </w:rPr>
        <w:t>c</w:t>
      </w:r>
      <w:r w:rsidRPr="004415B7" w:rsidR="004374DE">
        <w:rPr>
          <w:color w:val="000000" w:themeColor="text1"/>
        </w:rPr>
        <w:t xml:space="preserve">harges unspent of £0.01m less </w:t>
      </w:r>
      <w:r w:rsidRPr="004415B7" w:rsidR="009F0C23">
        <w:rPr>
          <w:color w:val="000000" w:themeColor="text1"/>
        </w:rPr>
        <w:t>overspends on compensation payments to tenants £0.033m and purchase card spend relating to decants £0.015m.</w:t>
      </w:r>
    </w:p>
    <w:p w:rsidRPr="004415B7" w:rsidR="00680FE1" w:rsidP="00B55494" w:rsidRDefault="00680FE1" w14:paraId="59BF6388" w14:textId="23D697F4">
      <w:pPr>
        <w:pStyle w:val="ListParagraph"/>
        <w:numPr>
          <w:ilvl w:val="1"/>
          <w:numId w:val="10"/>
        </w:numPr>
        <w:ind w:left="1134" w:hanging="283"/>
        <w:rPr>
          <w:color w:val="000000" w:themeColor="text1"/>
        </w:rPr>
      </w:pPr>
      <w:r w:rsidRPr="004415B7">
        <w:rPr>
          <w:b/>
          <w:bCs/>
          <w:color w:val="000000" w:themeColor="text1"/>
        </w:rPr>
        <w:t xml:space="preserve">Bad </w:t>
      </w:r>
      <w:r w:rsidR="00C91819">
        <w:rPr>
          <w:b/>
          <w:bCs/>
          <w:color w:val="000000" w:themeColor="text1"/>
        </w:rPr>
        <w:t>d</w:t>
      </w:r>
      <w:r w:rsidRPr="004415B7">
        <w:rPr>
          <w:b/>
          <w:bCs/>
          <w:color w:val="000000" w:themeColor="text1"/>
        </w:rPr>
        <w:t xml:space="preserve">ebt </w:t>
      </w:r>
      <w:r w:rsidRPr="004415B7">
        <w:rPr>
          <w:color w:val="000000" w:themeColor="text1"/>
        </w:rPr>
        <w:t xml:space="preserve">- a current </w:t>
      </w:r>
      <w:r w:rsidRPr="004415B7" w:rsidR="001037CA">
        <w:rPr>
          <w:color w:val="000000" w:themeColor="text1"/>
        </w:rPr>
        <w:t>underspend of £0.182m</w:t>
      </w:r>
      <w:r w:rsidRPr="004415B7" w:rsidR="00A40376">
        <w:rPr>
          <w:color w:val="000000" w:themeColor="text1"/>
        </w:rPr>
        <w:t xml:space="preserve"> </w:t>
      </w:r>
      <w:r w:rsidRPr="51BEE4ED" w:rsidR="5E178542">
        <w:rPr>
          <w:color w:val="000000" w:themeColor="text1"/>
        </w:rPr>
        <w:t>against</w:t>
      </w:r>
      <w:r w:rsidRPr="004415B7">
        <w:rPr>
          <w:color w:val="000000" w:themeColor="text1"/>
        </w:rPr>
        <w:t xml:space="preserve"> the bad debt provision</w:t>
      </w:r>
    </w:p>
    <w:p w:rsidRPr="004415B7" w:rsidR="00E829F1" w:rsidP="00B55494" w:rsidRDefault="003D0BD3" w14:paraId="79ECF351" w14:textId="6EAC8038">
      <w:pPr>
        <w:pStyle w:val="ListParagraph"/>
        <w:numPr>
          <w:ilvl w:val="1"/>
          <w:numId w:val="10"/>
        </w:numPr>
        <w:ind w:left="1134" w:hanging="283"/>
        <w:rPr>
          <w:color w:val="000000" w:themeColor="text1"/>
        </w:rPr>
      </w:pPr>
      <w:r w:rsidRPr="004415B7">
        <w:rPr>
          <w:b/>
          <w:bCs/>
          <w:color w:val="000000" w:themeColor="text1"/>
        </w:rPr>
        <w:t xml:space="preserve">Responsive </w:t>
      </w:r>
      <w:r w:rsidR="00C91819">
        <w:rPr>
          <w:b/>
          <w:bCs/>
          <w:color w:val="000000" w:themeColor="text1"/>
        </w:rPr>
        <w:t>and</w:t>
      </w:r>
      <w:r w:rsidRPr="004415B7">
        <w:rPr>
          <w:b/>
          <w:bCs/>
          <w:color w:val="000000" w:themeColor="text1"/>
        </w:rPr>
        <w:t xml:space="preserve"> </w:t>
      </w:r>
      <w:r w:rsidR="00C91819">
        <w:rPr>
          <w:b/>
          <w:bCs/>
          <w:color w:val="000000" w:themeColor="text1"/>
        </w:rPr>
        <w:t>c</w:t>
      </w:r>
      <w:r w:rsidRPr="004415B7">
        <w:rPr>
          <w:b/>
          <w:bCs/>
          <w:color w:val="000000" w:themeColor="text1"/>
        </w:rPr>
        <w:t xml:space="preserve">yclical </w:t>
      </w:r>
      <w:r w:rsidR="00C91819">
        <w:rPr>
          <w:b/>
          <w:bCs/>
          <w:color w:val="000000" w:themeColor="text1"/>
        </w:rPr>
        <w:t>r</w:t>
      </w:r>
      <w:r w:rsidRPr="004415B7">
        <w:rPr>
          <w:b/>
          <w:bCs/>
          <w:color w:val="000000" w:themeColor="text1"/>
        </w:rPr>
        <w:t xml:space="preserve">epairs </w:t>
      </w:r>
      <w:r w:rsidRPr="004415B7" w:rsidR="00391973">
        <w:rPr>
          <w:color w:val="000000" w:themeColor="text1"/>
        </w:rPr>
        <w:t>–</w:t>
      </w:r>
      <w:r w:rsidRPr="004415B7">
        <w:rPr>
          <w:color w:val="000000" w:themeColor="text1"/>
        </w:rPr>
        <w:t xml:space="preserve"> the</w:t>
      </w:r>
      <w:r w:rsidRPr="004415B7" w:rsidR="00391973">
        <w:rPr>
          <w:color w:val="000000" w:themeColor="text1"/>
        </w:rPr>
        <w:t>re is currently an underspend of £0.94</w:t>
      </w:r>
      <w:r w:rsidRPr="004415B7" w:rsidR="00E77E45">
        <w:rPr>
          <w:color w:val="000000" w:themeColor="text1"/>
        </w:rPr>
        <w:t>m</w:t>
      </w:r>
      <w:r w:rsidRPr="004415B7" w:rsidR="00E829F1">
        <w:rPr>
          <w:color w:val="000000" w:themeColor="text1"/>
        </w:rPr>
        <w:t xml:space="preserve">, which is analysed in the table below. </w:t>
      </w:r>
    </w:p>
    <w:p w:rsidRPr="004415B7" w:rsidR="001E1822" w:rsidP="51BEE4ED" w:rsidRDefault="00E46757" w14:paraId="2C8D752F" w14:textId="455E8F92">
      <w:pPr>
        <w:ind w:left="1134"/>
        <w:rPr>
          <w:color w:val="000000" w:themeColor="text1"/>
        </w:rPr>
      </w:pPr>
      <w:r w:rsidRPr="004415B7">
        <w:rPr>
          <w:color w:val="000000" w:themeColor="text1"/>
        </w:rPr>
        <w:t xml:space="preserve">The budget for 2025/26 was increased from </w:t>
      </w:r>
      <w:r w:rsidR="00832A8B">
        <w:rPr>
          <w:color w:val="000000" w:themeColor="text1"/>
        </w:rPr>
        <w:t xml:space="preserve">the </w:t>
      </w:r>
      <w:r w:rsidRPr="004415B7">
        <w:rPr>
          <w:color w:val="000000" w:themeColor="text1"/>
        </w:rPr>
        <w:t xml:space="preserve">last </w:t>
      </w:r>
      <w:r w:rsidR="00832A8B">
        <w:rPr>
          <w:color w:val="000000" w:themeColor="text1"/>
        </w:rPr>
        <w:t xml:space="preserve">financial </w:t>
      </w:r>
      <w:r w:rsidRPr="004415B7">
        <w:rPr>
          <w:color w:val="000000" w:themeColor="text1"/>
        </w:rPr>
        <w:t>year</w:t>
      </w:r>
      <w:r w:rsidRPr="004415B7" w:rsidR="009F73E6">
        <w:rPr>
          <w:color w:val="000000" w:themeColor="text1"/>
        </w:rPr>
        <w:t>; the</w:t>
      </w:r>
      <w:r w:rsidRPr="004415B7">
        <w:rPr>
          <w:color w:val="000000" w:themeColor="text1"/>
        </w:rPr>
        <w:t xml:space="preserve"> current saving is against</w:t>
      </w:r>
      <w:r w:rsidRPr="004415B7" w:rsidR="009F73E6">
        <w:rPr>
          <w:color w:val="000000" w:themeColor="text1"/>
        </w:rPr>
        <w:t xml:space="preserve"> the</w:t>
      </w:r>
      <w:r w:rsidRPr="004415B7">
        <w:rPr>
          <w:color w:val="000000" w:themeColor="text1"/>
        </w:rPr>
        <w:t xml:space="preserve"> profiled budget and is likely to be spent by year end. </w:t>
      </w:r>
    </w:p>
    <w:p w:rsidR="000747C5" w:rsidP="00832A8B" w:rsidRDefault="000747C5" w14:paraId="6DE51F6A" w14:textId="77777777">
      <w:pPr>
        <w:rPr>
          <w:rFonts w:cs="Arial"/>
          <w:b/>
          <w:bCs/>
          <w:color w:val="auto"/>
        </w:rPr>
      </w:pPr>
    </w:p>
    <w:p w:rsidR="000747C5" w:rsidRDefault="000747C5" w14:paraId="4FDF0DDD" w14:textId="77777777">
      <w:pPr>
        <w:spacing w:after="0"/>
        <w:rPr>
          <w:rFonts w:cs="Arial"/>
          <w:b/>
          <w:bCs/>
          <w:color w:val="auto"/>
        </w:rPr>
      </w:pPr>
      <w:r>
        <w:rPr>
          <w:rFonts w:cs="Arial"/>
          <w:b/>
          <w:bCs/>
          <w:color w:val="auto"/>
        </w:rPr>
        <w:br w:type="page"/>
      </w:r>
    </w:p>
    <w:p w:rsidRPr="004415B7" w:rsidR="009537F6" w:rsidP="51BEE4ED" w:rsidRDefault="009537F6" w14:paraId="3AF30B9A" w14:textId="46D044A8">
      <w:pPr>
        <w:ind w:left="4320" w:firstLine="720"/>
        <w:rPr>
          <w:rFonts w:cs="Arial"/>
          <w:b/>
          <w:bCs/>
          <w:color w:val="auto"/>
        </w:rPr>
      </w:pPr>
      <w:r w:rsidRPr="004415B7">
        <w:rPr>
          <w:rFonts w:cs="Arial"/>
          <w:b/>
          <w:bCs/>
          <w:color w:val="auto"/>
        </w:rPr>
        <w:lastRenderedPageBreak/>
        <w:t>£</w:t>
      </w:r>
    </w:p>
    <w:p w:rsidRPr="004415B7" w:rsidR="001E1822" w:rsidP="00676D0C" w:rsidRDefault="00676D0C" w14:paraId="196342D0" w14:textId="16D315AB">
      <w:pPr>
        <w:ind w:left="1134"/>
        <w:rPr>
          <w:rFonts w:cs="Arial"/>
          <w:color w:val="auto"/>
        </w:rPr>
      </w:pPr>
      <w:r w:rsidRPr="004415B7">
        <w:rPr>
          <w:rFonts w:cs="Arial"/>
          <w:noProof/>
          <w:color w:val="auto"/>
        </w:rPr>
        <w:drawing>
          <wp:inline distT="0" distB="0" distL="0" distR="0" wp14:anchorId="5BDBAC0F" wp14:editId="60711228">
            <wp:extent cx="2886075" cy="4426767"/>
            <wp:effectExtent l="0" t="0" r="0" b="0"/>
            <wp:docPr id="1387918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6330" cy="4442497"/>
                    </a:xfrm>
                    <a:prstGeom prst="rect">
                      <a:avLst/>
                    </a:prstGeom>
                    <a:noFill/>
                  </pic:spPr>
                </pic:pic>
              </a:graphicData>
            </a:graphic>
          </wp:inline>
        </w:drawing>
      </w:r>
    </w:p>
    <w:p w:rsidRPr="004415B7" w:rsidR="00886EE5" w:rsidP="00676D0C" w:rsidRDefault="00886EE5" w14:paraId="0CF915A9" w14:textId="77777777">
      <w:pPr>
        <w:ind w:left="1134"/>
        <w:rPr>
          <w:rFonts w:cs="Arial"/>
          <w:color w:val="auto"/>
        </w:rPr>
      </w:pPr>
    </w:p>
    <w:p w:rsidRPr="004415B7" w:rsidR="00A404ED" w:rsidP="00FE328F" w:rsidRDefault="00A404ED" w14:paraId="785516A5" w14:textId="1BEBF48F">
      <w:pPr>
        <w:pStyle w:val="ListParagraph"/>
        <w:numPr>
          <w:ilvl w:val="0"/>
          <w:numId w:val="5"/>
        </w:numPr>
        <w:ind w:left="851" w:hanging="567"/>
        <w:rPr>
          <w:rFonts w:cs="Arial"/>
          <w:color w:val="auto"/>
        </w:rPr>
      </w:pPr>
      <w:r w:rsidRPr="004415B7">
        <w:rPr>
          <w:rFonts w:cs="Arial"/>
          <w:color w:val="auto"/>
        </w:rPr>
        <w:t xml:space="preserve">The year-end forecast </w:t>
      </w:r>
      <w:r w:rsidRPr="004415B7" w:rsidR="00861784">
        <w:rPr>
          <w:rFonts w:cs="Arial"/>
          <w:color w:val="auto"/>
        </w:rPr>
        <w:t xml:space="preserve">favourable variance </w:t>
      </w:r>
      <w:r w:rsidRPr="004415B7" w:rsidR="00E51C0B">
        <w:rPr>
          <w:rFonts w:cs="Arial"/>
          <w:color w:val="auto"/>
        </w:rPr>
        <w:t xml:space="preserve">of £0.089m </w:t>
      </w:r>
      <w:r w:rsidRPr="004415B7" w:rsidR="00861784">
        <w:rPr>
          <w:rFonts w:cs="Arial"/>
          <w:color w:val="auto"/>
        </w:rPr>
        <w:t xml:space="preserve">is </w:t>
      </w:r>
      <w:r w:rsidRPr="004415B7" w:rsidR="00DE5B79">
        <w:rPr>
          <w:rFonts w:cs="Arial"/>
          <w:color w:val="auto"/>
        </w:rPr>
        <w:t>due to:</w:t>
      </w:r>
    </w:p>
    <w:p w:rsidRPr="004415B7" w:rsidR="007964D5" w:rsidP="008240C5" w:rsidRDefault="00DE5B79" w14:paraId="1D95D9D4" w14:textId="40E47DBC">
      <w:pPr>
        <w:ind w:left="851"/>
        <w:rPr>
          <w:rFonts w:cs="Arial"/>
          <w:color w:val="auto"/>
        </w:rPr>
      </w:pPr>
      <w:r w:rsidRPr="004415B7">
        <w:rPr>
          <w:rFonts w:cs="Arial"/>
          <w:b/>
          <w:bCs/>
          <w:color w:val="auto"/>
          <w:u w:val="single"/>
        </w:rPr>
        <w:t>Income</w:t>
      </w:r>
      <w:r w:rsidRPr="004415B7">
        <w:rPr>
          <w:rFonts w:cs="Arial"/>
          <w:color w:val="auto"/>
        </w:rPr>
        <w:t xml:space="preserve"> – an adverse variance of £0.081m </w:t>
      </w:r>
      <w:r w:rsidRPr="004415B7" w:rsidR="007964D5">
        <w:rPr>
          <w:rFonts w:cs="Arial"/>
          <w:color w:val="auto"/>
        </w:rPr>
        <w:t xml:space="preserve">forecast </w:t>
      </w:r>
      <w:r w:rsidRPr="004415B7" w:rsidR="006815C2">
        <w:rPr>
          <w:rFonts w:cs="Arial"/>
          <w:color w:val="auto"/>
        </w:rPr>
        <w:t>from</w:t>
      </w:r>
      <w:r w:rsidRPr="004415B7" w:rsidR="007964D5">
        <w:rPr>
          <w:rFonts w:cs="Arial"/>
          <w:color w:val="auto"/>
        </w:rPr>
        <w:t>:</w:t>
      </w:r>
      <w:r w:rsidRPr="004415B7" w:rsidR="006815C2">
        <w:rPr>
          <w:rFonts w:cs="Arial"/>
          <w:color w:val="auto"/>
        </w:rPr>
        <w:t xml:space="preserve"> </w:t>
      </w:r>
      <w:r w:rsidRPr="004415B7" w:rsidR="007964D5">
        <w:rPr>
          <w:rFonts w:cs="Arial"/>
          <w:color w:val="auto"/>
        </w:rPr>
        <w:t xml:space="preserve">additional </w:t>
      </w:r>
      <w:r w:rsidR="00832A8B">
        <w:rPr>
          <w:rFonts w:cs="Arial"/>
          <w:color w:val="auto"/>
        </w:rPr>
        <w:t>m</w:t>
      </w:r>
      <w:r w:rsidRPr="004415B7" w:rsidR="007964D5">
        <w:rPr>
          <w:rFonts w:cs="Arial"/>
          <w:color w:val="auto"/>
        </w:rPr>
        <w:t xml:space="preserve">iscellaneous </w:t>
      </w:r>
      <w:r w:rsidR="00AC2091">
        <w:rPr>
          <w:rFonts w:cs="Arial"/>
          <w:color w:val="auto"/>
        </w:rPr>
        <w:t>i</w:t>
      </w:r>
      <w:r w:rsidRPr="004415B7" w:rsidR="007964D5">
        <w:rPr>
          <w:rFonts w:cs="Arial"/>
          <w:color w:val="auto"/>
        </w:rPr>
        <w:t>ncome of £</w:t>
      </w:r>
      <w:r w:rsidRPr="004415B7" w:rsidR="00A23DF2">
        <w:rPr>
          <w:rFonts w:cs="Arial"/>
          <w:color w:val="auto"/>
        </w:rPr>
        <w:t>0.</w:t>
      </w:r>
      <w:r w:rsidRPr="004415B7" w:rsidR="007964D5">
        <w:rPr>
          <w:rFonts w:cs="Arial"/>
          <w:color w:val="auto"/>
        </w:rPr>
        <w:t>139</w:t>
      </w:r>
      <w:r w:rsidRPr="004415B7" w:rsidR="00A23DF2">
        <w:rPr>
          <w:rFonts w:cs="Arial"/>
          <w:color w:val="auto"/>
        </w:rPr>
        <w:t>m</w:t>
      </w:r>
      <w:r w:rsidRPr="004415B7" w:rsidR="007964D5">
        <w:rPr>
          <w:rFonts w:cs="Arial"/>
          <w:color w:val="auto"/>
        </w:rPr>
        <w:t xml:space="preserve"> from leased rental and assignments, less </w:t>
      </w:r>
      <w:r w:rsidRPr="004415B7" w:rsidR="00C1536F">
        <w:rPr>
          <w:rFonts w:cs="Arial"/>
          <w:color w:val="auto"/>
        </w:rPr>
        <w:t xml:space="preserve">pressures of </w:t>
      </w:r>
      <w:r w:rsidRPr="004415B7" w:rsidR="007964D5">
        <w:rPr>
          <w:rFonts w:cs="Arial"/>
          <w:color w:val="auto"/>
        </w:rPr>
        <w:t>£</w:t>
      </w:r>
      <w:r w:rsidRPr="004415B7" w:rsidR="00C1536F">
        <w:rPr>
          <w:rFonts w:cs="Arial"/>
          <w:color w:val="auto"/>
        </w:rPr>
        <w:t>0.0</w:t>
      </w:r>
      <w:r w:rsidRPr="004415B7" w:rsidR="007964D5">
        <w:rPr>
          <w:rFonts w:cs="Arial"/>
          <w:color w:val="auto"/>
        </w:rPr>
        <w:t>25</w:t>
      </w:r>
      <w:r w:rsidRPr="004415B7" w:rsidR="00C1536F">
        <w:rPr>
          <w:rFonts w:cs="Arial"/>
          <w:color w:val="auto"/>
        </w:rPr>
        <w:t>m</w:t>
      </w:r>
      <w:r w:rsidRPr="004415B7" w:rsidR="007964D5">
        <w:rPr>
          <w:rFonts w:cs="Arial"/>
          <w:color w:val="auto"/>
        </w:rPr>
        <w:t xml:space="preserve"> </w:t>
      </w:r>
      <w:r w:rsidR="001D2D1D">
        <w:rPr>
          <w:rFonts w:cs="Arial"/>
          <w:color w:val="auto"/>
        </w:rPr>
        <w:t>on the f</w:t>
      </w:r>
      <w:r w:rsidRPr="004415B7" w:rsidR="007964D5">
        <w:rPr>
          <w:rFonts w:cs="Arial"/>
          <w:color w:val="auto"/>
        </w:rPr>
        <w:t xml:space="preserve">urnished </w:t>
      </w:r>
      <w:r w:rsidR="001D2D1D">
        <w:rPr>
          <w:rFonts w:cs="Arial"/>
          <w:color w:val="auto"/>
        </w:rPr>
        <w:t>t</w:t>
      </w:r>
      <w:r w:rsidRPr="004415B7" w:rsidR="007964D5">
        <w:rPr>
          <w:rFonts w:cs="Arial"/>
          <w:color w:val="auto"/>
        </w:rPr>
        <w:t>enancies</w:t>
      </w:r>
      <w:r w:rsidR="001D2D1D">
        <w:rPr>
          <w:rFonts w:cs="Arial"/>
          <w:color w:val="auto"/>
        </w:rPr>
        <w:t xml:space="preserve"> budget</w:t>
      </w:r>
      <w:r w:rsidRPr="004415B7" w:rsidR="00C1536F">
        <w:rPr>
          <w:rFonts w:cs="Arial"/>
          <w:color w:val="auto"/>
        </w:rPr>
        <w:t xml:space="preserve"> and on</w:t>
      </w:r>
      <w:r w:rsidRPr="004415B7" w:rsidR="007964D5">
        <w:rPr>
          <w:rFonts w:cs="Arial"/>
          <w:color w:val="auto"/>
        </w:rPr>
        <w:t xml:space="preserve"> </w:t>
      </w:r>
      <w:r w:rsidR="00AC2091">
        <w:rPr>
          <w:rFonts w:cs="Arial"/>
          <w:color w:val="auto"/>
        </w:rPr>
        <w:t>d</w:t>
      </w:r>
      <w:r w:rsidRPr="004415B7" w:rsidR="007964D5">
        <w:rPr>
          <w:rFonts w:cs="Arial"/>
          <w:color w:val="auto"/>
        </w:rPr>
        <w:t xml:space="preserve">welling </w:t>
      </w:r>
      <w:r w:rsidR="00AC2091">
        <w:rPr>
          <w:rFonts w:cs="Arial"/>
          <w:color w:val="auto"/>
        </w:rPr>
        <w:t>r</w:t>
      </w:r>
      <w:r w:rsidRPr="004415B7" w:rsidR="007964D5">
        <w:rPr>
          <w:rFonts w:cs="Arial"/>
          <w:color w:val="auto"/>
        </w:rPr>
        <w:t>ent of £</w:t>
      </w:r>
      <w:r w:rsidRPr="004415B7" w:rsidR="008240C5">
        <w:rPr>
          <w:rFonts w:cs="Arial"/>
          <w:color w:val="auto"/>
        </w:rPr>
        <w:t>0.</w:t>
      </w:r>
      <w:r w:rsidRPr="004415B7" w:rsidR="007964D5">
        <w:rPr>
          <w:rFonts w:cs="Arial"/>
          <w:color w:val="auto"/>
        </w:rPr>
        <w:t>22</w:t>
      </w:r>
      <w:r w:rsidRPr="004415B7" w:rsidR="008240C5">
        <w:rPr>
          <w:rFonts w:cs="Arial"/>
          <w:color w:val="auto"/>
        </w:rPr>
        <w:t>m</w:t>
      </w:r>
      <w:r w:rsidRPr="004415B7" w:rsidR="007964D5">
        <w:rPr>
          <w:rFonts w:cs="Arial"/>
          <w:color w:val="auto"/>
        </w:rPr>
        <w:t xml:space="preserve"> from delayed acquisitions.</w:t>
      </w:r>
    </w:p>
    <w:p w:rsidRPr="004415B7" w:rsidR="00E51C0B" w:rsidP="008240C5" w:rsidRDefault="00D54D2C" w14:paraId="121998DF" w14:textId="6FDE668A">
      <w:pPr>
        <w:ind w:left="851"/>
        <w:rPr>
          <w:rFonts w:cs="Arial"/>
          <w:color w:val="auto"/>
        </w:rPr>
      </w:pPr>
      <w:r w:rsidRPr="004415B7">
        <w:rPr>
          <w:rFonts w:cs="Arial"/>
          <w:b/>
          <w:bCs/>
          <w:color w:val="auto"/>
          <w:u w:val="single"/>
        </w:rPr>
        <w:t>Expenditure</w:t>
      </w:r>
      <w:r w:rsidRPr="004415B7">
        <w:rPr>
          <w:rFonts w:cs="Arial"/>
          <w:color w:val="auto"/>
        </w:rPr>
        <w:t xml:space="preserve"> </w:t>
      </w:r>
      <w:r w:rsidRPr="004415B7" w:rsidR="00FE328F">
        <w:rPr>
          <w:rFonts w:cs="Arial"/>
          <w:color w:val="auto"/>
        </w:rPr>
        <w:t>–</w:t>
      </w:r>
      <w:r w:rsidRPr="004415B7">
        <w:rPr>
          <w:rFonts w:cs="Arial"/>
          <w:color w:val="auto"/>
        </w:rPr>
        <w:t xml:space="preserve"> </w:t>
      </w:r>
      <w:r w:rsidRPr="004415B7" w:rsidR="00FE328F">
        <w:rPr>
          <w:rFonts w:cs="Arial"/>
          <w:color w:val="auto"/>
        </w:rPr>
        <w:t xml:space="preserve">a </w:t>
      </w:r>
      <w:r w:rsidRPr="004415B7" w:rsidR="00FE23DE">
        <w:rPr>
          <w:rFonts w:cs="Arial"/>
          <w:color w:val="auto"/>
        </w:rPr>
        <w:t xml:space="preserve">favourable </w:t>
      </w:r>
      <w:r w:rsidRPr="004415B7" w:rsidR="003F04B0">
        <w:rPr>
          <w:rFonts w:cs="Arial"/>
          <w:color w:val="auto"/>
        </w:rPr>
        <w:t xml:space="preserve">forecast </w:t>
      </w:r>
      <w:r w:rsidRPr="004415B7" w:rsidR="00FE23DE">
        <w:rPr>
          <w:rFonts w:cs="Arial"/>
          <w:color w:val="auto"/>
        </w:rPr>
        <w:t xml:space="preserve">outturn variance of £0.17m </w:t>
      </w:r>
      <w:r w:rsidRPr="004415B7" w:rsidR="003F04B0">
        <w:rPr>
          <w:rFonts w:cs="Arial"/>
          <w:color w:val="auto"/>
        </w:rPr>
        <w:t>for:</w:t>
      </w:r>
    </w:p>
    <w:p w:rsidRPr="004415B7" w:rsidR="00DE5B79" w:rsidP="002A2755" w:rsidRDefault="00A14A07" w14:paraId="154FC644" w14:textId="2D1ADBAD">
      <w:pPr>
        <w:pStyle w:val="ListParagraph"/>
        <w:numPr>
          <w:ilvl w:val="1"/>
          <w:numId w:val="17"/>
        </w:numPr>
        <w:rPr>
          <w:rFonts w:cs="Arial"/>
          <w:color w:val="auto"/>
        </w:rPr>
      </w:pPr>
      <w:r w:rsidRPr="004415B7">
        <w:rPr>
          <w:b/>
          <w:bCs/>
          <w:color w:val="000000" w:themeColor="text1"/>
        </w:rPr>
        <w:t xml:space="preserve">Management and </w:t>
      </w:r>
      <w:r w:rsidR="004517C8">
        <w:rPr>
          <w:b/>
          <w:bCs/>
          <w:color w:val="000000" w:themeColor="text1"/>
        </w:rPr>
        <w:t>s</w:t>
      </w:r>
      <w:r w:rsidRPr="004415B7">
        <w:rPr>
          <w:b/>
          <w:bCs/>
          <w:color w:val="000000" w:themeColor="text1"/>
        </w:rPr>
        <w:t>ervices (</w:t>
      </w:r>
      <w:r w:rsidR="004517C8">
        <w:rPr>
          <w:b/>
          <w:bCs/>
          <w:color w:val="000000" w:themeColor="text1"/>
        </w:rPr>
        <w:t>s</w:t>
      </w:r>
      <w:r w:rsidRPr="004415B7">
        <w:rPr>
          <w:b/>
          <w:bCs/>
          <w:color w:val="000000" w:themeColor="text1"/>
        </w:rPr>
        <w:t xml:space="preserve">tock </w:t>
      </w:r>
      <w:r w:rsidR="004517C8">
        <w:rPr>
          <w:b/>
          <w:bCs/>
          <w:color w:val="000000" w:themeColor="text1"/>
        </w:rPr>
        <w:t>r</w:t>
      </w:r>
      <w:r w:rsidRPr="004415B7">
        <w:rPr>
          <w:b/>
          <w:bCs/>
          <w:color w:val="000000" w:themeColor="text1"/>
        </w:rPr>
        <w:t>elated)</w:t>
      </w:r>
      <w:r w:rsidRPr="004415B7">
        <w:rPr>
          <w:color w:val="000000" w:themeColor="text1"/>
        </w:rPr>
        <w:t xml:space="preserve"> </w:t>
      </w:r>
      <w:r w:rsidRPr="004415B7" w:rsidR="006F6337">
        <w:rPr>
          <w:color w:val="000000" w:themeColor="text1"/>
        </w:rPr>
        <w:t>– the forecast outturn is a saving of £</w:t>
      </w:r>
      <w:r w:rsidRPr="004415B7" w:rsidR="00546F96">
        <w:rPr>
          <w:color w:val="000000" w:themeColor="text1"/>
        </w:rPr>
        <w:t>0.</w:t>
      </w:r>
      <w:r w:rsidRPr="004415B7" w:rsidR="006F6337">
        <w:rPr>
          <w:color w:val="000000" w:themeColor="text1"/>
        </w:rPr>
        <w:t>116</w:t>
      </w:r>
      <w:r w:rsidRPr="004415B7" w:rsidR="00546F96">
        <w:rPr>
          <w:color w:val="000000" w:themeColor="text1"/>
        </w:rPr>
        <w:t xml:space="preserve">m arising from utilities £0.266m, </w:t>
      </w:r>
      <w:r w:rsidRPr="004415B7" w:rsidR="00A37830">
        <w:rPr>
          <w:color w:val="000000" w:themeColor="text1"/>
        </w:rPr>
        <w:t xml:space="preserve">furnished tenancy furniture purchases £0.08m, </w:t>
      </w:r>
      <w:r w:rsidRPr="004415B7" w:rsidR="00546F96">
        <w:rPr>
          <w:color w:val="000000" w:themeColor="text1"/>
        </w:rPr>
        <w:t>court fees £0.06m</w:t>
      </w:r>
      <w:r w:rsidRPr="004415B7" w:rsidR="00A37830">
        <w:rPr>
          <w:color w:val="000000" w:themeColor="text1"/>
        </w:rPr>
        <w:t xml:space="preserve">, </w:t>
      </w:r>
      <w:r w:rsidRPr="004415B7" w:rsidR="008E5DFA">
        <w:rPr>
          <w:color w:val="000000" w:themeColor="text1"/>
        </w:rPr>
        <w:t xml:space="preserve">under occupation scheme £0.04m, </w:t>
      </w:r>
      <w:r w:rsidRPr="004415B7" w:rsidR="00C51336">
        <w:rPr>
          <w:color w:val="000000" w:themeColor="text1"/>
        </w:rPr>
        <w:t xml:space="preserve">new bin purchases £0.03m, </w:t>
      </w:r>
      <w:r w:rsidRPr="004415B7" w:rsidR="00546F96">
        <w:rPr>
          <w:color w:val="000000" w:themeColor="text1"/>
        </w:rPr>
        <w:t>salaries £0.02</w:t>
      </w:r>
      <w:r w:rsidRPr="004415B7" w:rsidR="00513669">
        <w:rPr>
          <w:color w:val="000000" w:themeColor="text1"/>
        </w:rPr>
        <w:t xml:space="preserve">m less pressures in </w:t>
      </w:r>
      <w:r w:rsidRPr="004415B7" w:rsidR="00D84E79">
        <w:rPr>
          <w:color w:val="000000" w:themeColor="text1"/>
        </w:rPr>
        <w:t>council tax spend £0.18m, housing consultants £0.17m and service charges £0.03m.</w:t>
      </w:r>
    </w:p>
    <w:p w:rsidRPr="004415B7" w:rsidR="002A2755" w:rsidP="002A2755" w:rsidRDefault="00BB0593" w14:paraId="550C702F" w14:textId="1B31DBEC">
      <w:pPr>
        <w:pStyle w:val="ListParagraph"/>
        <w:numPr>
          <w:ilvl w:val="1"/>
          <w:numId w:val="17"/>
        </w:numPr>
        <w:rPr>
          <w:rFonts w:cs="Arial"/>
          <w:color w:val="auto"/>
        </w:rPr>
      </w:pPr>
      <w:r w:rsidRPr="004415B7">
        <w:rPr>
          <w:b/>
          <w:bCs/>
          <w:color w:val="000000" w:themeColor="text1"/>
        </w:rPr>
        <w:t xml:space="preserve">Other </w:t>
      </w:r>
      <w:r w:rsidR="004517C8">
        <w:rPr>
          <w:b/>
          <w:bCs/>
          <w:color w:val="000000" w:themeColor="text1"/>
        </w:rPr>
        <w:t>r</w:t>
      </w:r>
      <w:r w:rsidRPr="004415B7">
        <w:rPr>
          <w:b/>
          <w:bCs/>
          <w:color w:val="000000" w:themeColor="text1"/>
        </w:rPr>
        <w:t xml:space="preserve">evenue </w:t>
      </w:r>
      <w:r w:rsidR="004517C8">
        <w:rPr>
          <w:b/>
          <w:bCs/>
          <w:color w:val="000000" w:themeColor="text1"/>
        </w:rPr>
        <w:t>s</w:t>
      </w:r>
      <w:r w:rsidRPr="004415B7">
        <w:rPr>
          <w:b/>
          <w:bCs/>
          <w:color w:val="000000" w:themeColor="text1"/>
        </w:rPr>
        <w:t>pend (</w:t>
      </w:r>
      <w:r w:rsidR="004517C8">
        <w:rPr>
          <w:b/>
          <w:bCs/>
          <w:color w:val="000000" w:themeColor="text1"/>
        </w:rPr>
        <w:t>s</w:t>
      </w:r>
      <w:r w:rsidRPr="004415B7">
        <w:rPr>
          <w:b/>
          <w:bCs/>
          <w:color w:val="000000" w:themeColor="text1"/>
        </w:rPr>
        <w:t xml:space="preserve">tock </w:t>
      </w:r>
      <w:r w:rsidR="004517C8">
        <w:rPr>
          <w:b/>
          <w:bCs/>
          <w:color w:val="000000" w:themeColor="text1"/>
        </w:rPr>
        <w:t>r</w:t>
      </w:r>
      <w:r w:rsidRPr="004415B7">
        <w:rPr>
          <w:b/>
          <w:bCs/>
          <w:color w:val="000000" w:themeColor="text1"/>
        </w:rPr>
        <w:t xml:space="preserve">elated) </w:t>
      </w:r>
      <w:r w:rsidRPr="004415B7" w:rsidR="00321E14">
        <w:rPr>
          <w:color w:val="000000" w:themeColor="text1"/>
        </w:rPr>
        <w:t>–</w:t>
      </w:r>
      <w:r w:rsidRPr="004415B7">
        <w:rPr>
          <w:color w:val="000000" w:themeColor="text1"/>
        </w:rPr>
        <w:t xml:space="preserve"> </w:t>
      </w:r>
      <w:r w:rsidRPr="004415B7" w:rsidR="00321E14">
        <w:rPr>
          <w:color w:val="000000" w:themeColor="text1"/>
        </w:rPr>
        <w:t xml:space="preserve">a forecast outturn saving of £0.024m </w:t>
      </w:r>
      <w:r w:rsidRPr="004415B7" w:rsidR="003612BC">
        <w:rPr>
          <w:color w:val="000000" w:themeColor="text1"/>
        </w:rPr>
        <w:t>for Rent Sense £0.064m less compensation payments of £0.04m</w:t>
      </w:r>
    </w:p>
    <w:p w:rsidRPr="005D3922" w:rsidR="005D3922" w:rsidP="002A2755" w:rsidRDefault="003612BC" w14:paraId="2C8A4EED" w14:textId="2FECFADD">
      <w:pPr>
        <w:pStyle w:val="ListParagraph"/>
        <w:numPr>
          <w:ilvl w:val="1"/>
          <w:numId w:val="17"/>
        </w:numPr>
        <w:rPr>
          <w:rFonts w:cs="Arial"/>
          <w:color w:val="auto"/>
        </w:rPr>
      </w:pPr>
      <w:r w:rsidRPr="004415B7">
        <w:rPr>
          <w:b/>
          <w:bCs/>
          <w:color w:val="000000" w:themeColor="text1"/>
        </w:rPr>
        <w:t xml:space="preserve">Bad </w:t>
      </w:r>
      <w:r w:rsidR="004517C8">
        <w:rPr>
          <w:b/>
          <w:bCs/>
          <w:color w:val="000000" w:themeColor="text1"/>
        </w:rPr>
        <w:t>d</w:t>
      </w:r>
      <w:r w:rsidRPr="004415B7">
        <w:rPr>
          <w:b/>
          <w:bCs/>
          <w:color w:val="000000" w:themeColor="text1"/>
        </w:rPr>
        <w:t xml:space="preserve">ebt </w:t>
      </w:r>
      <w:r w:rsidRPr="004415B7" w:rsidR="006A281D">
        <w:rPr>
          <w:color w:val="000000" w:themeColor="text1"/>
        </w:rPr>
        <w:t>–</w:t>
      </w:r>
      <w:r w:rsidRPr="004415B7">
        <w:rPr>
          <w:color w:val="000000" w:themeColor="text1"/>
        </w:rPr>
        <w:t xml:space="preserve"> </w:t>
      </w:r>
      <w:r w:rsidRPr="004415B7" w:rsidR="006A281D">
        <w:rPr>
          <w:color w:val="000000" w:themeColor="text1"/>
        </w:rPr>
        <w:t>a forecast saving at year end of £0.2m</w:t>
      </w:r>
    </w:p>
    <w:p w:rsidRPr="004415B7" w:rsidR="006A281D" w:rsidP="002A2755" w:rsidRDefault="00CC3D22" w14:paraId="64AA282C" w14:textId="1C1BC5D1">
      <w:pPr>
        <w:pStyle w:val="ListParagraph"/>
        <w:numPr>
          <w:ilvl w:val="1"/>
          <w:numId w:val="17"/>
        </w:numPr>
        <w:rPr>
          <w:rFonts w:cs="Arial"/>
          <w:color w:val="auto"/>
        </w:rPr>
      </w:pPr>
      <w:r w:rsidRPr="004415B7">
        <w:rPr>
          <w:b/>
          <w:bCs/>
          <w:color w:val="000000" w:themeColor="text1"/>
        </w:rPr>
        <w:t xml:space="preserve">Responsive </w:t>
      </w:r>
      <w:r w:rsidR="00380CE4">
        <w:rPr>
          <w:b/>
          <w:bCs/>
          <w:color w:val="000000" w:themeColor="text1"/>
        </w:rPr>
        <w:t>and c</w:t>
      </w:r>
      <w:r w:rsidRPr="004415B7">
        <w:rPr>
          <w:b/>
          <w:bCs/>
          <w:color w:val="000000" w:themeColor="text1"/>
        </w:rPr>
        <w:t xml:space="preserve">yclical </w:t>
      </w:r>
      <w:r w:rsidR="00380CE4">
        <w:rPr>
          <w:b/>
          <w:bCs/>
          <w:color w:val="000000" w:themeColor="text1"/>
        </w:rPr>
        <w:t>r</w:t>
      </w:r>
      <w:r w:rsidRPr="004415B7">
        <w:rPr>
          <w:b/>
          <w:bCs/>
          <w:color w:val="000000" w:themeColor="text1"/>
        </w:rPr>
        <w:t xml:space="preserve">epairs </w:t>
      </w:r>
      <w:r w:rsidRPr="004415B7" w:rsidR="008E5866">
        <w:rPr>
          <w:color w:val="000000" w:themeColor="text1"/>
        </w:rPr>
        <w:t>–</w:t>
      </w:r>
      <w:r w:rsidRPr="004415B7">
        <w:rPr>
          <w:color w:val="000000" w:themeColor="text1"/>
        </w:rPr>
        <w:t xml:space="preserve"> </w:t>
      </w:r>
      <w:r w:rsidRPr="004415B7" w:rsidR="008E5866">
        <w:rPr>
          <w:color w:val="000000" w:themeColor="text1"/>
        </w:rPr>
        <w:t xml:space="preserve">a year-end forecast pressure of £0.17m. </w:t>
      </w:r>
      <w:r w:rsidRPr="004415B7" w:rsidR="00E348BB">
        <w:rPr>
          <w:color w:val="000000" w:themeColor="text1"/>
        </w:rPr>
        <w:t xml:space="preserve">Damp and mould works </w:t>
      </w:r>
      <w:r w:rsidR="00380CE4">
        <w:rPr>
          <w:color w:val="000000" w:themeColor="text1"/>
        </w:rPr>
        <w:t>are</w:t>
      </w:r>
      <w:r w:rsidRPr="004415B7" w:rsidR="00E348BB">
        <w:rPr>
          <w:color w:val="000000" w:themeColor="text1"/>
        </w:rPr>
        <w:t xml:space="preserve"> expected to be £0.2m (1.0%) more than the approved budget</w:t>
      </w:r>
      <w:r w:rsidRPr="004415B7" w:rsidR="00B35BCC">
        <w:rPr>
          <w:color w:val="000000" w:themeColor="text1"/>
        </w:rPr>
        <w:t xml:space="preserve">. This is offset by a £0.03m saving </w:t>
      </w:r>
      <w:r w:rsidRPr="004415B7" w:rsidR="00374516">
        <w:rPr>
          <w:color w:val="000000" w:themeColor="text1"/>
        </w:rPr>
        <w:t xml:space="preserve">from </w:t>
      </w:r>
      <w:r w:rsidR="006048A9">
        <w:rPr>
          <w:color w:val="000000" w:themeColor="text1"/>
        </w:rPr>
        <w:t xml:space="preserve">the </w:t>
      </w:r>
      <w:r w:rsidRPr="004415B7" w:rsidR="00374516">
        <w:rPr>
          <w:color w:val="000000" w:themeColor="text1"/>
        </w:rPr>
        <w:t xml:space="preserve">Environment Improvements budget managed by </w:t>
      </w:r>
      <w:r w:rsidR="00EA3E45">
        <w:rPr>
          <w:color w:val="000000" w:themeColor="text1"/>
        </w:rPr>
        <w:t xml:space="preserve">the </w:t>
      </w:r>
      <w:r w:rsidRPr="004415B7" w:rsidR="00374516">
        <w:rPr>
          <w:color w:val="000000" w:themeColor="text1"/>
        </w:rPr>
        <w:t>Landlord Services</w:t>
      </w:r>
      <w:r w:rsidR="00EA3E45">
        <w:rPr>
          <w:color w:val="000000" w:themeColor="text1"/>
        </w:rPr>
        <w:t xml:space="preserve"> Team</w:t>
      </w:r>
      <w:r w:rsidRPr="004415B7" w:rsidR="00374516">
        <w:rPr>
          <w:color w:val="000000" w:themeColor="text1"/>
        </w:rPr>
        <w:t>.</w:t>
      </w:r>
    </w:p>
    <w:p w:rsidRPr="004415B7" w:rsidR="00D122CB" w:rsidP="14BF4969" w:rsidRDefault="7D4D685D" w14:paraId="1F4290FE" w14:textId="3B0E6745">
      <w:pPr>
        <w:rPr>
          <w:b/>
          <w:bCs/>
          <w:color w:val="auto"/>
        </w:rPr>
      </w:pPr>
      <w:r w:rsidRPr="004415B7">
        <w:rPr>
          <w:b/>
          <w:bCs/>
          <w:color w:val="auto"/>
        </w:rPr>
        <w:lastRenderedPageBreak/>
        <w:t>Capital</w:t>
      </w:r>
    </w:p>
    <w:p w:rsidRPr="004415B7" w:rsidR="00107566" w:rsidP="00C66425" w:rsidRDefault="00107566" w14:paraId="69986616" w14:textId="7AECA573">
      <w:pPr>
        <w:pStyle w:val="ListParagraph"/>
        <w:numPr>
          <w:ilvl w:val="0"/>
          <w:numId w:val="5"/>
        </w:numPr>
        <w:tabs>
          <w:tab w:val="clear" w:pos="426"/>
        </w:tabs>
        <w:ind w:left="851" w:hanging="567"/>
        <w:rPr>
          <w:color w:val="auto"/>
        </w:rPr>
      </w:pPr>
      <w:r w:rsidRPr="51BEE4ED">
        <w:rPr>
          <w:color w:val="auto"/>
        </w:rPr>
        <w:t xml:space="preserve">The </w:t>
      </w:r>
      <w:r w:rsidRPr="51BEE4ED" w:rsidR="2ED0B5C2">
        <w:rPr>
          <w:color w:val="auto"/>
        </w:rPr>
        <w:t>overall</w:t>
      </w:r>
      <w:r w:rsidRPr="004415B7">
        <w:rPr>
          <w:color w:val="auto"/>
        </w:rPr>
        <w:t xml:space="preserve"> budget for 202</w:t>
      </w:r>
      <w:r w:rsidRPr="004415B7" w:rsidR="006479E8">
        <w:rPr>
          <w:color w:val="auto"/>
        </w:rPr>
        <w:t>5</w:t>
      </w:r>
      <w:r w:rsidRPr="004415B7" w:rsidR="009A32CA">
        <w:rPr>
          <w:color w:val="auto"/>
        </w:rPr>
        <w:t>/</w:t>
      </w:r>
      <w:r w:rsidRPr="004415B7">
        <w:rPr>
          <w:color w:val="auto"/>
        </w:rPr>
        <w:t>2</w:t>
      </w:r>
      <w:r w:rsidRPr="004415B7" w:rsidR="006479E8">
        <w:rPr>
          <w:color w:val="auto"/>
        </w:rPr>
        <w:t>6</w:t>
      </w:r>
      <w:r w:rsidRPr="004415B7">
        <w:rPr>
          <w:color w:val="auto"/>
        </w:rPr>
        <w:t>, as approved by the Council at its meeting in February 202</w:t>
      </w:r>
      <w:r w:rsidRPr="004415B7" w:rsidR="006479E8">
        <w:rPr>
          <w:color w:val="auto"/>
        </w:rPr>
        <w:t>5</w:t>
      </w:r>
      <w:r w:rsidRPr="004415B7">
        <w:rPr>
          <w:color w:val="auto"/>
        </w:rPr>
        <w:t>, was set at £</w:t>
      </w:r>
      <w:r w:rsidRPr="004415B7" w:rsidR="006479E8">
        <w:rPr>
          <w:color w:val="auto"/>
        </w:rPr>
        <w:t>179.014</w:t>
      </w:r>
      <w:r w:rsidRPr="004415B7" w:rsidR="008F2FDD">
        <w:rPr>
          <w:color w:val="auto"/>
        </w:rPr>
        <w:t>m</w:t>
      </w:r>
      <w:r w:rsidRPr="004415B7">
        <w:rPr>
          <w:color w:val="auto"/>
        </w:rPr>
        <w:t xml:space="preserve">. </w:t>
      </w:r>
      <w:r w:rsidRPr="004415B7" w:rsidR="00851E62">
        <w:rPr>
          <w:color w:val="auto"/>
        </w:rPr>
        <w:t xml:space="preserve">Adjusting for </w:t>
      </w:r>
      <w:r w:rsidRPr="004415B7">
        <w:rPr>
          <w:rFonts w:cs="Arial"/>
          <w:color w:val="000000" w:themeColor="text1"/>
        </w:rPr>
        <w:t>required carry forwards of underspends from 202</w:t>
      </w:r>
      <w:r w:rsidRPr="004415B7" w:rsidR="006479E8">
        <w:rPr>
          <w:rFonts w:cs="Arial"/>
          <w:color w:val="000000" w:themeColor="text1"/>
        </w:rPr>
        <w:t>4</w:t>
      </w:r>
      <w:r w:rsidRPr="004415B7">
        <w:rPr>
          <w:rFonts w:cs="Arial"/>
          <w:color w:val="000000" w:themeColor="text1"/>
        </w:rPr>
        <w:t>/2</w:t>
      </w:r>
      <w:r w:rsidRPr="004415B7" w:rsidR="006479E8">
        <w:rPr>
          <w:rFonts w:cs="Arial"/>
          <w:color w:val="000000" w:themeColor="text1"/>
        </w:rPr>
        <w:t>5</w:t>
      </w:r>
      <w:r w:rsidRPr="004415B7" w:rsidR="00846018">
        <w:rPr>
          <w:rFonts w:cs="Arial"/>
          <w:color w:val="000000" w:themeColor="text1"/>
        </w:rPr>
        <w:t xml:space="preserve"> </w:t>
      </w:r>
      <w:r w:rsidRPr="004415B7" w:rsidR="00851E62">
        <w:rPr>
          <w:rFonts w:cs="Arial"/>
          <w:color w:val="000000" w:themeColor="text1"/>
        </w:rPr>
        <w:t xml:space="preserve">and </w:t>
      </w:r>
      <w:r w:rsidRPr="004415B7" w:rsidR="00846018">
        <w:rPr>
          <w:rFonts w:cs="Arial"/>
          <w:color w:val="000000" w:themeColor="text1"/>
        </w:rPr>
        <w:t>additional budget changes</w:t>
      </w:r>
      <w:r w:rsidRPr="004415B7" w:rsidR="00EC2539">
        <w:rPr>
          <w:rFonts w:cs="Arial"/>
          <w:color w:val="000000" w:themeColor="text1"/>
        </w:rPr>
        <w:t>,</w:t>
      </w:r>
      <w:r w:rsidRPr="004415B7" w:rsidR="00846018">
        <w:rPr>
          <w:rFonts w:cs="Arial"/>
          <w:color w:val="000000" w:themeColor="text1"/>
        </w:rPr>
        <w:t xml:space="preserve"> including new allocations </w:t>
      </w:r>
      <w:r w:rsidRPr="004415B7">
        <w:rPr>
          <w:rFonts w:cs="Arial"/>
          <w:color w:val="000000" w:themeColor="text1"/>
        </w:rPr>
        <w:t xml:space="preserve">in-year </w:t>
      </w:r>
      <w:r w:rsidRPr="004415B7" w:rsidR="00846018">
        <w:rPr>
          <w:rFonts w:cs="Arial"/>
          <w:color w:val="000000" w:themeColor="text1"/>
        </w:rPr>
        <w:t xml:space="preserve">and </w:t>
      </w:r>
      <w:r w:rsidRPr="004415B7">
        <w:rPr>
          <w:rFonts w:cs="Arial"/>
          <w:color w:val="000000" w:themeColor="text1"/>
        </w:rPr>
        <w:t>budget slippages with the budgets reprofiled accordingly</w:t>
      </w:r>
      <w:r w:rsidRPr="004415B7" w:rsidR="00EC2539">
        <w:rPr>
          <w:rFonts w:cs="Arial"/>
          <w:color w:val="000000" w:themeColor="text1"/>
        </w:rPr>
        <w:t>,</w:t>
      </w:r>
      <w:r w:rsidRPr="004415B7" w:rsidR="00341E3E">
        <w:rPr>
          <w:rFonts w:cs="Arial"/>
          <w:color w:val="000000" w:themeColor="text1"/>
        </w:rPr>
        <w:t xml:space="preserve"> t</w:t>
      </w:r>
      <w:r w:rsidRPr="004415B7">
        <w:rPr>
          <w:rFonts w:cs="Arial"/>
          <w:color w:val="000000" w:themeColor="text1"/>
        </w:rPr>
        <w:t xml:space="preserve">his gives a revised </w:t>
      </w:r>
      <w:r w:rsidRPr="004415B7" w:rsidR="00341E3E">
        <w:rPr>
          <w:rFonts w:cs="Arial"/>
          <w:color w:val="000000" w:themeColor="text1"/>
        </w:rPr>
        <w:t xml:space="preserve">latest </w:t>
      </w:r>
      <w:r w:rsidRPr="004415B7">
        <w:rPr>
          <w:rFonts w:cs="Arial"/>
          <w:color w:val="000000" w:themeColor="text1"/>
        </w:rPr>
        <w:t xml:space="preserve">budget </w:t>
      </w:r>
      <w:r w:rsidRPr="004415B7" w:rsidR="00341E3E">
        <w:rPr>
          <w:rFonts w:cs="Arial"/>
          <w:color w:val="000000" w:themeColor="text1"/>
        </w:rPr>
        <w:t xml:space="preserve">for 2025/26 </w:t>
      </w:r>
      <w:r w:rsidRPr="004415B7">
        <w:rPr>
          <w:rFonts w:cs="Arial"/>
          <w:color w:val="000000" w:themeColor="text1"/>
        </w:rPr>
        <w:t xml:space="preserve">at </w:t>
      </w:r>
      <w:r w:rsidRPr="004415B7" w:rsidR="00846018">
        <w:rPr>
          <w:rFonts w:cs="Arial"/>
          <w:color w:val="000000" w:themeColor="text1"/>
        </w:rPr>
        <w:t xml:space="preserve">30 </w:t>
      </w:r>
      <w:r w:rsidRPr="004415B7" w:rsidR="00341E3E">
        <w:rPr>
          <w:rFonts w:cs="Arial"/>
          <w:color w:val="000000" w:themeColor="text1"/>
        </w:rPr>
        <w:t xml:space="preserve">September </w:t>
      </w:r>
      <w:r w:rsidRPr="004415B7">
        <w:rPr>
          <w:rFonts w:cs="Arial"/>
          <w:color w:val="000000" w:themeColor="text1"/>
        </w:rPr>
        <w:t>202</w:t>
      </w:r>
      <w:r w:rsidRPr="004415B7" w:rsidR="006479E8">
        <w:rPr>
          <w:rFonts w:cs="Arial"/>
          <w:color w:val="000000" w:themeColor="text1"/>
        </w:rPr>
        <w:t>5</w:t>
      </w:r>
      <w:r w:rsidRPr="004415B7">
        <w:rPr>
          <w:rFonts w:cs="Arial"/>
          <w:color w:val="000000" w:themeColor="text1"/>
        </w:rPr>
        <w:t xml:space="preserve"> of £</w:t>
      </w:r>
      <w:r w:rsidRPr="004415B7" w:rsidR="00341E3E">
        <w:rPr>
          <w:rFonts w:cs="Arial"/>
          <w:color w:val="000000" w:themeColor="text1"/>
        </w:rPr>
        <w:t>182</w:t>
      </w:r>
      <w:r w:rsidRPr="004415B7" w:rsidR="00126D38">
        <w:rPr>
          <w:rFonts w:cs="Arial"/>
          <w:color w:val="000000" w:themeColor="text1"/>
        </w:rPr>
        <w:t>.899m</w:t>
      </w:r>
      <w:r w:rsidRPr="004415B7">
        <w:rPr>
          <w:rFonts w:cs="Arial"/>
          <w:color w:val="000000" w:themeColor="text1"/>
        </w:rPr>
        <w:t xml:space="preserve"> as shown in </w:t>
      </w:r>
      <w:r w:rsidRPr="004415B7" w:rsidR="008F47FB">
        <w:rPr>
          <w:rFonts w:cs="Arial"/>
          <w:color w:val="000000" w:themeColor="text1"/>
        </w:rPr>
        <w:t xml:space="preserve">Fig.1 and </w:t>
      </w:r>
      <w:r w:rsidRPr="004415B7" w:rsidR="00846018">
        <w:rPr>
          <w:rFonts w:cs="Arial"/>
          <w:color w:val="000000" w:themeColor="text1"/>
        </w:rPr>
        <w:t xml:space="preserve">in </w:t>
      </w:r>
      <w:r w:rsidRPr="004415B7">
        <w:rPr>
          <w:rFonts w:cs="Arial"/>
          <w:color w:val="000000" w:themeColor="text1"/>
        </w:rPr>
        <w:t>Appendix C.</w:t>
      </w:r>
    </w:p>
    <w:p w:rsidRPr="004415B7" w:rsidR="006479E8" w:rsidP="00EC2D99" w:rsidRDefault="00107566" w14:paraId="5B117238" w14:textId="2248BB02">
      <w:pPr>
        <w:pStyle w:val="ListParagraph"/>
        <w:numPr>
          <w:ilvl w:val="0"/>
          <w:numId w:val="5"/>
        </w:numPr>
        <w:ind w:left="851" w:hanging="567"/>
        <w:rPr>
          <w:color w:val="auto"/>
        </w:rPr>
      </w:pPr>
      <w:r w:rsidRPr="004415B7">
        <w:rPr>
          <w:color w:val="auto"/>
        </w:rPr>
        <w:t xml:space="preserve">Spend against the total budget </w:t>
      </w:r>
      <w:r w:rsidRPr="004415B7" w:rsidR="006479E8">
        <w:rPr>
          <w:color w:val="auto"/>
        </w:rPr>
        <w:t>in the period April to</w:t>
      </w:r>
      <w:r w:rsidRPr="004415B7">
        <w:rPr>
          <w:color w:val="auto"/>
        </w:rPr>
        <w:t xml:space="preserve"> </w:t>
      </w:r>
      <w:r w:rsidRPr="004415B7" w:rsidR="00AD633A">
        <w:rPr>
          <w:color w:val="auto"/>
        </w:rPr>
        <w:t>September</w:t>
      </w:r>
      <w:r w:rsidRPr="004415B7">
        <w:rPr>
          <w:color w:val="auto"/>
        </w:rPr>
        <w:t xml:space="preserve"> 202</w:t>
      </w:r>
      <w:r w:rsidRPr="004415B7" w:rsidR="006479E8">
        <w:rPr>
          <w:color w:val="auto"/>
        </w:rPr>
        <w:t>5</w:t>
      </w:r>
      <w:r w:rsidRPr="004415B7">
        <w:rPr>
          <w:color w:val="auto"/>
        </w:rPr>
        <w:t xml:space="preserve"> </w:t>
      </w:r>
      <w:r w:rsidRPr="004415B7" w:rsidR="006479E8">
        <w:rPr>
          <w:color w:val="auto"/>
        </w:rPr>
        <w:t>(</w:t>
      </w:r>
      <w:r w:rsidRPr="004415B7" w:rsidR="00EE7C4C">
        <w:rPr>
          <w:color w:val="auto"/>
        </w:rPr>
        <w:t>Q1-</w:t>
      </w:r>
      <w:r w:rsidRPr="004415B7" w:rsidR="006479E8">
        <w:rPr>
          <w:color w:val="auto"/>
        </w:rPr>
        <w:t>Q</w:t>
      </w:r>
      <w:r w:rsidRPr="004415B7" w:rsidR="00AD633A">
        <w:rPr>
          <w:color w:val="auto"/>
        </w:rPr>
        <w:t>2</w:t>
      </w:r>
      <w:r w:rsidRPr="004415B7" w:rsidR="006479E8">
        <w:rPr>
          <w:color w:val="auto"/>
        </w:rPr>
        <w:t xml:space="preserve">) </w:t>
      </w:r>
      <w:r w:rsidRPr="004415B7">
        <w:rPr>
          <w:color w:val="auto"/>
        </w:rPr>
        <w:t>is £</w:t>
      </w:r>
      <w:r w:rsidRPr="004415B7" w:rsidR="00EE7C4C">
        <w:rPr>
          <w:color w:val="auto"/>
        </w:rPr>
        <w:t>50.72m</w:t>
      </w:r>
      <w:r w:rsidRPr="004415B7">
        <w:rPr>
          <w:color w:val="auto"/>
        </w:rPr>
        <w:t xml:space="preserve"> in total, which </w:t>
      </w:r>
      <w:r w:rsidRPr="004415B7" w:rsidR="006479E8">
        <w:rPr>
          <w:color w:val="auto"/>
        </w:rPr>
        <w:t xml:space="preserve">represents </w:t>
      </w:r>
      <w:r w:rsidRPr="004415B7" w:rsidR="000D3D6A">
        <w:rPr>
          <w:color w:val="auto"/>
        </w:rPr>
        <w:t>28</w:t>
      </w:r>
      <w:r w:rsidRPr="004415B7" w:rsidR="006479E8">
        <w:rPr>
          <w:color w:val="auto"/>
        </w:rPr>
        <w:t>%</w:t>
      </w:r>
      <w:r w:rsidRPr="004415B7">
        <w:rPr>
          <w:color w:val="auto"/>
        </w:rPr>
        <w:t xml:space="preserve"> of the latest budget</w:t>
      </w:r>
      <w:r w:rsidRPr="004415B7" w:rsidR="006479E8">
        <w:rPr>
          <w:color w:val="auto"/>
        </w:rPr>
        <w:t xml:space="preserve">, </w:t>
      </w:r>
      <w:r w:rsidRPr="004415B7" w:rsidR="000D3D6A">
        <w:rPr>
          <w:color w:val="auto"/>
        </w:rPr>
        <w:t>29</w:t>
      </w:r>
      <w:r w:rsidRPr="004415B7" w:rsidR="006479E8">
        <w:rPr>
          <w:color w:val="auto"/>
        </w:rPr>
        <w:t xml:space="preserve">% being GF and </w:t>
      </w:r>
      <w:r w:rsidRPr="004415B7" w:rsidR="000D3D6A">
        <w:rPr>
          <w:color w:val="auto"/>
        </w:rPr>
        <w:t>27</w:t>
      </w:r>
      <w:r w:rsidRPr="004415B7" w:rsidR="006479E8">
        <w:rPr>
          <w:color w:val="auto"/>
        </w:rPr>
        <w:t>% HRA.</w:t>
      </w:r>
      <w:r w:rsidRPr="004415B7" w:rsidR="006D287F">
        <w:rPr>
          <w:color w:val="auto"/>
        </w:rPr>
        <w:t xml:space="preserve"> The forecast outturn variance is £1</w:t>
      </w:r>
      <w:r w:rsidRPr="004415B7" w:rsidR="000D3D6A">
        <w:rPr>
          <w:color w:val="auto"/>
        </w:rPr>
        <w:t>.951</w:t>
      </w:r>
      <w:r w:rsidRPr="004415B7" w:rsidR="006D287F">
        <w:rPr>
          <w:color w:val="auto"/>
        </w:rPr>
        <w:t>m due to forecast slippage.</w:t>
      </w:r>
    </w:p>
    <w:p w:rsidRPr="004415B7" w:rsidR="00D8492C" w:rsidP="00EC2D99" w:rsidRDefault="00644B48" w14:paraId="4D9B47AE" w14:textId="4EF35DF3">
      <w:pPr>
        <w:ind w:left="284"/>
        <w:rPr>
          <w:color w:val="auto"/>
          <w:sz w:val="16"/>
          <w:szCs w:val="16"/>
        </w:rPr>
      </w:pPr>
      <w:r w:rsidRPr="004415B7">
        <w:rPr>
          <w:noProof/>
        </w:rPr>
        <w:drawing>
          <wp:inline distT="0" distB="0" distL="0" distR="0" wp14:anchorId="0D35A1D9" wp14:editId="78748407">
            <wp:extent cx="5904230" cy="1023620"/>
            <wp:effectExtent l="0" t="0" r="1270" b="5080"/>
            <wp:docPr id="19036527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4230" cy="1023620"/>
                    </a:xfrm>
                    <a:prstGeom prst="rect">
                      <a:avLst/>
                    </a:prstGeom>
                    <a:noFill/>
                    <a:ln>
                      <a:noFill/>
                    </a:ln>
                  </pic:spPr>
                </pic:pic>
              </a:graphicData>
            </a:graphic>
          </wp:inline>
        </w:drawing>
      </w:r>
    </w:p>
    <w:p w:rsidRPr="004415B7" w:rsidR="00107566" w:rsidP="00EC2D99" w:rsidRDefault="00107566" w14:paraId="2D92DF85" w14:textId="3F71FC1E">
      <w:pPr>
        <w:pStyle w:val="ListParagraph"/>
        <w:ind w:left="284"/>
        <w:rPr>
          <w:color w:val="auto"/>
          <w:sz w:val="16"/>
          <w:szCs w:val="16"/>
        </w:rPr>
      </w:pPr>
      <w:r w:rsidRPr="004415B7">
        <w:rPr>
          <w:color w:val="auto"/>
          <w:sz w:val="16"/>
          <w:szCs w:val="16"/>
        </w:rPr>
        <w:t>Fig.1</w:t>
      </w:r>
    </w:p>
    <w:p w:rsidRPr="004415B7" w:rsidR="00415FA3" w:rsidP="00107566" w:rsidRDefault="00415FA3" w14:paraId="7D3982BB" w14:textId="77777777">
      <w:pPr>
        <w:rPr>
          <w:b/>
          <w:bCs/>
          <w:color w:val="auto"/>
        </w:rPr>
      </w:pPr>
    </w:p>
    <w:p w:rsidRPr="004415B7" w:rsidR="00107566" w:rsidP="00107566" w:rsidRDefault="00107566" w14:paraId="6C3DA816" w14:textId="383C5299">
      <w:pPr>
        <w:rPr>
          <w:b/>
          <w:bCs/>
          <w:color w:val="auto"/>
        </w:rPr>
      </w:pPr>
      <w:r w:rsidRPr="004415B7">
        <w:rPr>
          <w:b/>
          <w:bCs/>
          <w:color w:val="auto"/>
        </w:rPr>
        <w:t>General Fund Capital</w:t>
      </w:r>
    </w:p>
    <w:p w:rsidR="00107566" w:rsidP="00EC2D99" w:rsidRDefault="00107566" w14:paraId="14665758" w14:textId="4B399D61">
      <w:pPr>
        <w:pStyle w:val="ListParagraph"/>
        <w:numPr>
          <w:ilvl w:val="0"/>
          <w:numId w:val="5"/>
        </w:numPr>
        <w:ind w:left="851" w:hanging="567"/>
        <w:rPr>
          <w:color w:val="auto"/>
        </w:rPr>
      </w:pPr>
      <w:r w:rsidRPr="004415B7">
        <w:rPr>
          <w:color w:val="auto"/>
        </w:rPr>
        <w:t xml:space="preserve">A summary of the General Fund schemes by project </w:t>
      </w:r>
      <w:r w:rsidRPr="004415B7" w:rsidR="002060CD">
        <w:rPr>
          <w:color w:val="auto"/>
        </w:rPr>
        <w:t>classification</w:t>
      </w:r>
      <w:r w:rsidRPr="004415B7" w:rsidR="00022214">
        <w:rPr>
          <w:color w:val="auto"/>
        </w:rPr>
        <w:t xml:space="preserve">, which has recently been reviewed, </w:t>
      </w:r>
      <w:r w:rsidRPr="004415B7">
        <w:rPr>
          <w:color w:val="auto"/>
        </w:rPr>
        <w:t>is shown in Fig.2</w:t>
      </w:r>
      <w:r w:rsidR="00EA3E45">
        <w:rPr>
          <w:color w:val="auto"/>
        </w:rPr>
        <w:t xml:space="preserve"> below</w:t>
      </w:r>
      <w:r w:rsidRPr="004415B7">
        <w:rPr>
          <w:color w:val="auto"/>
        </w:rPr>
        <w:t xml:space="preserve"> and this provides an insight into the value and range of projects that the Council is under</w:t>
      </w:r>
      <w:r w:rsidRPr="004415B7" w:rsidR="008F47FB">
        <w:rPr>
          <w:color w:val="auto"/>
        </w:rPr>
        <w:t>taking</w:t>
      </w:r>
      <w:r w:rsidRPr="004415B7">
        <w:rPr>
          <w:color w:val="auto"/>
        </w:rPr>
        <w:t xml:space="preserve">. </w:t>
      </w:r>
      <w:r w:rsidRPr="51BEE4ED" w:rsidR="003B44BB">
        <w:rPr>
          <w:color w:val="auto"/>
        </w:rPr>
        <w:t>Overall,</w:t>
      </w:r>
      <w:r w:rsidRPr="51BEE4ED" w:rsidR="233AACDC">
        <w:rPr>
          <w:color w:val="auto"/>
        </w:rPr>
        <w:t xml:space="preserve"> 29% of the latest capital budget has been spent by 30</w:t>
      </w:r>
      <w:r w:rsidR="003B44BB">
        <w:rPr>
          <w:color w:val="auto"/>
        </w:rPr>
        <w:t xml:space="preserve"> September 2025</w:t>
      </w:r>
      <w:r w:rsidRPr="51BEE4ED" w:rsidR="233AACDC">
        <w:rPr>
          <w:color w:val="auto"/>
        </w:rPr>
        <w:t xml:space="preserve">. </w:t>
      </w:r>
      <w:r w:rsidRPr="51BEE4ED" w:rsidR="504F701E">
        <w:rPr>
          <w:color w:val="auto"/>
        </w:rPr>
        <w:t>A</w:t>
      </w:r>
      <w:r w:rsidRPr="51BEE4ED" w:rsidR="008F47FB">
        <w:rPr>
          <w:color w:val="auto"/>
        </w:rPr>
        <w:t>pproximately</w:t>
      </w:r>
      <w:r w:rsidRPr="004415B7" w:rsidR="008F47FB">
        <w:rPr>
          <w:color w:val="auto"/>
        </w:rPr>
        <w:t xml:space="preserve"> </w:t>
      </w:r>
      <w:r w:rsidRPr="004415B7">
        <w:rPr>
          <w:color w:val="auto"/>
        </w:rPr>
        <w:t>1</w:t>
      </w:r>
      <w:r w:rsidRPr="004415B7" w:rsidR="00602CEB">
        <w:rPr>
          <w:color w:val="auto"/>
        </w:rPr>
        <w:t>7</w:t>
      </w:r>
      <w:r w:rsidRPr="004415B7" w:rsidR="00AA3702">
        <w:rPr>
          <w:color w:val="auto"/>
        </w:rPr>
        <w:t>%</w:t>
      </w:r>
      <w:r w:rsidRPr="004415B7">
        <w:rPr>
          <w:color w:val="auto"/>
        </w:rPr>
        <w:t xml:space="preserve"> of the</w:t>
      </w:r>
      <w:r w:rsidR="009E4C83">
        <w:rPr>
          <w:color w:val="auto"/>
        </w:rPr>
        <w:t xml:space="preserve"> General Fund</w:t>
      </w:r>
      <w:r w:rsidRPr="004415B7">
        <w:rPr>
          <w:color w:val="auto"/>
        </w:rPr>
        <w:t xml:space="preserve"> capital programme </w:t>
      </w:r>
      <w:r w:rsidR="008E0020">
        <w:rPr>
          <w:color w:val="auto"/>
        </w:rPr>
        <w:t xml:space="preserve">budget </w:t>
      </w:r>
      <w:r w:rsidRPr="004415B7">
        <w:rPr>
          <w:color w:val="auto"/>
        </w:rPr>
        <w:t xml:space="preserve">relates to </w:t>
      </w:r>
      <w:r w:rsidR="00C019D9">
        <w:rPr>
          <w:color w:val="auto"/>
        </w:rPr>
        <w:t>loans</w:t>
      </w:r>
      <w:r w:rsidR="00727A69">
        <w:rPr>
          <w:color w:val="auto"/>
        </w:rPr>
        <w:t>,</w:t>
      </w:r>
      <w:r w:rsidR="00C019D9">
        <w:rPr>
          <w:color w:val="auto"/>
        </w:rPr>
        <w:t xml:space="preserve"> to the council’s housing </w:t>
      </w:r>
      <w:r w:rsidR="00D1323E">
        <w:rPr>
          <w:color w:val="auto"/>
        </w:rPr>
        <w:t>company</w:t>
      </w:r>
      <w:r w:rsidR="00727A69">
        <w:rPr>
          <w:color w:val="auto"/>
        </w:rPr>
        <w:t>,</w:t>
      </w:r>
      <w:r w:rsidR="00D1323E">
        <w:rPr>
          <w:color w:val="auto"/>
        </w:rPr>
        <w:t xml:space="preserve"> </w:t>
      </w:r>
      <w:r w:rsidRPr="004415B7">
        <w:rPr>
          <w:color w:val="auto"/>
        </w:rPr>
        <w:t xml:space="preserve">of which </w:t>
      </w:r>
      <w:r w:rsidRPr="004415B7" w:rsidR="00DF4E37">
        <w:rPr>
          <w:color w:val="auto"/>
        </w:rPr>
        <w:t>90% is</w:t>
      </w:r>
      <w:r w:rsidRPr="004415B7">
        <w:rPr>
          <w:color w:val="auto"/>
        </w:rPr>
        <w:t xml:space="preserve"> spen</w:t>
      </w:r>
      <w:r w:rsidRPr="004415B7" w:rsidR="00DF4E37">
        <w:rPr>
          <w:color w:val="auto"/>
        </w:rPr>
        <w:t xml:space="preserve">t </w:t>
      </w:r>
      <w:r w:rsidRPr="004415B7" w:rsidR="00BC2EAA">
        <w:rPr>
          <w:color w:val="auto"/>
        </w:rPr>
        <w:t>at Q2</w:t>
      </w:r>
      <w:r w:rsidRPr="51BEE4ED">
        <w:rPr>
          <w:color w:val="auto"/>
        </w:rPr>
        <w:t xml:space="preserve">. </w:t>
      </w:r>
      <w:r w:rsidRPr="004415B7">
        <w:rPr>
          <w:color w:val="auto"/>
        </w:rPr>
        <w:t xml:space="preserve"> </w:t>
      </w:r>
    </w:p>
    <w:p w:rsidRPr="004415B7" w:rsidR="00AA3702" w:rsidP="005369EA" w:rsidRDefault="00440C15" w14:paraId="746EA155" w14:textId="3461727A">
      <w:pPr>
        <w:pStyle w:val="ListParagraph"/>
        <w:ind w:left="284"/>
        <w:rPr>
          <w:color w:val="auto"/>
          <w:sz w:val="16"/>
          <w:szCs w:val="16"/>
        </w:rPr>
      </w:pPr>
      <w:r w:rsidRPr="004415B7">
        <w:rPr>
          <w:noProof/>
        </w:rPr>
        <w:drawing>
          <wp:inline distT="0" distB="0" distL="0" distR="0" wp14:anchorId="269495D9" wp14:editId="60D7EC0F">
            <wp:extent cx="5904230" cy="2766695"/>
            <wp:effectExtent l="0" t="0" r="1270" b="0"/>
            <wp:docPr id="2073028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04230" cy="2766695"/>
                    </a:xfrm>
                    <a:prstGeom prst="rect">
                      <a:avLst/>
                    </a:prstGeom>
                    <a:noFill/>
                    <a:ln>
                      <a:noFill/>
                    </a:ln>
                  </pic:spPr>
                </pic:pic>
              </a:graphicData>
            </a:graphic>
          </wp:inline>
        </w:drawing>
      </w:r>
    </w:p>
    <w:p w:rsidRPr="004415B7" w:rsidR="00107566" w:rsidP="005369EA" w:rsidRDefault="00107566" w14:paraId="63F582FB" w14:textId="7754347D">
      <w:pPr>
        <w:pStyle w:val="ListParagraph"/>
        <w:ind w:left="284"/>
        <w:rPr>
          <w:color w:val="auto"/>
          <w:sz w:val="16"/>
          <w:szCs w:val="16"/>
        </w:rPr>
      </w:pPr>
      <w:r w:rsidRPr="004415B7">
        <w:rPr>
          <w:color w:val="auto"/>
          <w:sz w:val="16"/>
          <w:szCs w:val="16"/>
        </w:rPr>
        <w:t>Fig.2</w:t>
      </w:r>
    </w:p>
    <w:p w:rsidR="00F75CEE" w:rsidP="00C66425" w:rsidRDefault="00F75CEE" w14:paraId="1EE63401" w14:textId="77777777">
      <w:pPr>
        <w:ind w:left="1418" w:hanging="567"/>
        <w:rPr>
          <w:color w:val="auto"/>
          <w:u w:val="single"/>
        </w:rPr>
      </w:pPr>
    </w:p>
    <w:p w:rsidR="00F75CEE" w:rsidP="00C66425" w:rsidRDefault="00F75CEE" w14:paraId="454895A8" w14:textId="77777777">
      <w:pPr>
        <w:ind w:left="1418" w:hanging="567"/>
        <w:rPr>
          <w:color w:val="auto"/>
          <w:u w:val="single"/>
        </w:rPr>
      </w:pPr>
    </w:p>
    <w:p w:rsidR="00F75CEE" w:rsidP="00C66425" w:rsidRDefault="00F75CEE" w14:paraId="689326ED" w14:textId="77777777">
      <w:pPr>
        <w:ind w:left="1418" w:hanging="567"/>
        <w:rPr>
          <w:color w:val="auto"/>
          <w:u w:val="single"/>
        </w:rPr>
      </w:pPr>
    </w:p>
    <w:p w:rsidRPr="004415B7" w:rsidR="00107566" w:rsidP="00C66425" w:rsidRDefault="00107566" w14:paraId="395070BC" w14:textId="17EFE0E3">
      <w:pPr>
        <w:ind w:left="1418" w:hanging="567"/>
        <w:rPr>
          <w:color w:val="auto"/>
        </w:rPr>
      </w:pPr>
      <w:r w:rsidRPr="004415B7">
        <w:rPr>
          <w:color w:val="auto"/>
          <w:u w:val="single"/>
        </w:rPr>
        <w:lastRenderedPageBreak/>
        <w:t xml:space="preserve">Project </w:t>
      </w:r>
      <w:r w:rsidRPr="004415B7" w:rsidR="00D651B4">
        <w:rPr>
          <w:color w:val="auto"/>
          <w:u w:val="single"/>
        </w:rPr>
        <w:t>classification</w:t>
      </w:r>
      <w:r w:rsidRPr="004415B7">
        <w:rPr>
          <w:color w:val="auto"/>
          <w:u w:val="single"/>
        </w:rPr>
        <w:t xml:space="preserve"> key budgets</w:t>
      </w:r>
      <w:r w:rsidRPr="004415B7">
        <w:rPr>
          <w:color w:val="auto"/>
        </w:rPr>
        <w:t>:</w:t>
      </w:r>
    </w:p>
    <w:p w:rsidRPr="004415B7" w:rsidR="00EE72C2" w:rsidP="00EE72C2" w:rsidRDefault="00EE72C2" w14:paraId="2AABCFAB" w14:textId="087F9BA7">
      <w:pPr>
        <w:pStyle w:val="ListParagraph"/>
        <w:numPr>
          <w:ilvl w:val="0"/>
          <w:numId w:val="7"/>
        </w:numPr>
        <w:tabs>
          <w:tab w:val="clear" w:pos="426"/>
        </w:tabs>
        <w:ind w:left="1276" w:hanging="490"/>
        <w:rPr>
          <w:color w:val="auto"/>
        </w:rPr>
      </w:pPr>
      <w:r w:rsidRPr="004415B7">
        <w:rPr>
          <w:b/>
          <w:bCs/>
          <w:color w:val="auto"/>
        </w:rPr>
        <w:t xml:space="preserve">Compliance (H&amp;S) </w:t>
      </w:r>
      <w:r w:rsidRPr="004415B7">
        <w:rPr>
          <w:color w:val="auto"/>
        </w:rPr>
        <w:t>- Gloucester Green C</w:t>
      </w:r>
      <w:r w:rsidRPr="004415B7" w:rsidR="003D7A50">
        <w:rPr>
          <w:color w:val="auto"/>
        </w:rPr>
        <w:t>ar Park (H&amp;</w:t>
      </w:r>
      <w:r w:rsidRPr="004415B7">
        <w:rPr>
          <w:color w:val="auto"/>
        </w:rPr>
        <w:t>S</w:t>
      </w:r>
    </w:p>
    <w:p w:rsidRPr="004415B7" w:rsidR="00107566" w:rsidP="00B55494" w:rsidRDefault="00107566" w14:paraId="5E01AA85" w14:textId="675D88D2">
      <w:pPr>
        <w:pStyle w:val="ListParagraph"/>
        <w:numPr>
          <w:ilvl w:val="0"/>
          <w:numId w:val="7"/>
        </w:numPr>
        <w:tabs>
          <w:tab w:val="clear" w:pos="426"/>
        </w:tabs>
        <w:ind w:left="1276" w:hanging="490"/>
        <w:rPr>
          <w:color w:val="auto"/>
        </w:rPr>
      </w:pPr>
      <w:r w:rsidRPr="004415B7">
        <w:rPr>
          <w:b/>
          <w:bCs/>
          <w:color w:val="auto"/>
        </w:rPr>
        <w:t>Development</w:t>
      </w:r>
      <w:r w:rsidRPr="004415B7" w:rsidR="00D1087D">
        <w:rPr>
          <w:b/>
          <w:bCs/>
          <w:color w:val="auto"/>
        </w:rPr>
        <w:t xml:space="preserve">-Project </w:t>
      </w:r>
      <w:r w:rsidRPr="004415B7">
        <w:rPr>
          <w:color w:val="auto"/>
        </w:rPr>
        <w:t>– Blackbird Leys Regeneration; East Oxford Community Centre;</w:t>
      </w:r>
      <w:r w:rsidRPr="004415B7" w:rsidR="00F476D7">
        <w:rPr>
          <w:color w:val="auto"/>
        </w:rPr>
        <w:t xml:space="preserve"> </w:t>
      </w:r>
      <w:r w:rsidRPr="004415B7" w:rsidR="00B20A86">
        <w:rPr>
          <w:color w:val="auto"/>
        </w:rPr>
        <w:t>Floyds Row Refurbishment;</w:t>
      </w:r>
      <w:r w:rsidRPr="004415B7" w:rsidR="001A2A0A">
        <w:rPr>
          <w:color w:val="auto"/>
        </w:rPr>
        <w:t xml:space="preserve"> </w:t>
      </w:r>
      <w:r w:rsidRPr="004415B7">
        <w:rPr>
          <w:color w:val="auto"/>
        </w:rPr>
        <w:t>Covered Market;</w:t>
      </w:r>
      <w:r w:rsidRPr="004415B7" w:rsidR="0043376C">
        <w:rPr>
          <w:color w:val="auto"/>
        </w:rPr>
        <w:t xml:space="preserve"> 1-3 Ge</w:t>
      </w:r>
      <w:r w:rsidRPr="004415B7" w:rsidR="00E04798">
        <w:rPr>
          <w:color w:val="auto"/>
        </w:rPr>
        <w:t>o</w:t>
      </w:r>
      <w:r w:rsidRPr="004415B7" w:rsidR="0043376C">
        <w:rPr>
          <w:color w:val="auto"/>
        </w:rPr>
        <w:t>rge Street;</w:t>
      </w:r>
      <w:r w:rsidRPr="004415B7" w:rsidR="00E04798">
        <w:rPr>
          <w:color w:val="auto"/>
        </w:rPr>
        <w:t xml:space="preserve"> Oxford Ice Rink Development;</w:t>
      </w:r>
      <w:r w:rsidRPr="004415B7">
        <w:rPr>
          <w:color w:val="auto"/>
        </w:rPr>
        <w:t xml:space="preserve"> </w:t>
      </w:r>
      <w:r w:rsidRPr="004415B7" w:rsidR="00A23C57">
        <w:rPr>
          <w:color w:val="auto"/>
        </w:rPr>
        <w:t xml:space="preserve">New </w:t>
      </w:r>
      <w:r w:rsidRPr="004415B7" w:rsidR="00B5534E">
        <w:rPr>
          <w:color w:val="auto"/>
        </w:rPr>
        <w:t>B</w:t>
      </w:r>
      <w:r w:rsidRPr="004415B7" w:rsidR="00D1087D">
        <w:rPr>
          <w:color w:val="auto"/>
        </w:rPr>
        <w:t xml:space="preserve">urial </w:t>
      </w:r>
      <w:r w:rsidRPr="004415B7" w:rsidR="00A23C57">
        <w:rPr>
          <w:color w:val="auto"/>
        </w:rPr>
        <w:t>S</w:t>
      </w:r>
      <w:r w:rsidRPr="004415B7" w:rsidR="00D1087D">
        <w:rPr>
          <w:color w:val="auto"/>
        </w:rPr>
        <w:t>pace</w:t>
      </w:r>
    </w:p>
    <w:p w:rsidRPr="004415B7" w:rsidR="00D34646" w:rsidP="00B55494" w:rsidRDefault="00D34646" w14:paraId="2E85DD6E" w14:textId="221A63C5">
      <w:pPr>
        <w:pStyle w:val="ListParagraph"/>
        <w:numPr>
          <w:ilvl w:val="0"/>
          <w:numId w:val="7"/>
        </w:numPr>
        <w:tabs>
          <w:tab w:val="clear" w:pos="426"/>
        </w:tabs>
        <w:ind w:left="1276" w:hanging="490"/>
        <w:rPr>
          <w:color w:val="auto"/>
        </w:rPr>
      </w:pPr>
      <w:r w:rsidRPr="004415B7">
        <w:rPr>
          <w:b/>
          <w:bCs/>
          <w:color w:val="auto"/>
        </w:rPr>
        <w:t>Feasibility</w:t>
      </w:r>
      <w:r w:rsidRPr="004415B7" w:rsidR="00251A64">
        <w:rPr>
          <w:b/>
          <w:bCs/>
          <w:color w:val="auto"/>
        </w:rPr>
        <w:t xml:space="preserve"> </w:t>
      </w:r>
      <w:r w:rsidRPr="004415B7" w:rsidR="00251A64">
        <w:rPr>
          <w:color w:val="auto"/>
        </w:rPr>
        <w:t xml:space="preserve">– </w:t>
      </w:r>
      <w:r w:rsidRPr="004415B7" w:rsidR="00CC343F">
        <w:rPr>
          <w:color w:val="auto"/>
        </w:rPr>
        <w:t xml:space="preserve">feasibility studies for </w:t>
      </w:r>
      <w:r w:rsidRPr="004415B7" w:rsidR="00251A64">
        <w:rPr>
          <w:color w:val="auto"/>
        </w:rPr>
        <w:t>various projects</w:t>
      </w:r>
    </w:p>
    <w:p w:rsidRPr="004415B7" w:rsidR="00D34646" w:rsidP="00B55494" w:rsidRDefault="00D34646" w14:paraId="508F3A4E" w14:textId="1A9EBA8D">
      <w:pPr>
        <w:pStyle w:val="ListParagraph"/>
        <w:numPr>
          <w:ilvl w:val="0"/>
          <w:numId w:val="7"/>
        </w:numPr>
        <w:tabs>
          <w:tab w:val="clear" w:pos="426"/>
        </w:tabs>
        <w:ind w:left="1276" w:hanging="490"/>
        <w:rPr>
          <w:color w:val="auto"/>
        </w:rPr>
      </w:pPr>
      <w:r w:rsidRPr="004415B7">
        <w:rPr>
          <w:b/>
          <w:bCs/>
          <w:color w:val="auto"/>
        </w:rPr>
        <w:t>Housing</w:t>
      </w:r>
      <w:r w:rsidRPr="004415B7" w:rsidR="00B90A82">
        <w:rPr>
          <w:b/>
          <w:bCs/>
          <w:color w:val="auto"/>
        </w:rPr>
        <w:t>–</w:t>
      </w:r>
      <w:r w:rsidRPr="004415B7">
        <w:rPr>
          <w:b/>
          <w:bCs/>
          <w:color w:val="auto"/>
        </w:rPr>
        <w:t>Homelessness</w:t>
      </w:r>
      <w:r w:rsidRPr="004415B7" w:rsidR="00334936">
        <w:rPr>
          <w:b/>
          <w:bCs/>
          <w:color w:val="auto"/>
        </w:rPr>
        <w:t xml:space="preserve"> </w:t>
      </w:r>
      <w:r w:rsidRPr="004415B7" w:rsidR="00334936">
        <w:rPr>
          <w:color w:val="auto"/>
        </w:rPr>
        <w:t xml:space="preserve">- </w:t>
      </w:r>
      <w:r w:rsidRPr="004415B7" w:rsidR="00235EFC">
        <w:rPr>
          <w:color w:val="auto"/>
        </w:rPr>
        <w:t xml:space="preserve">National Homelessness Property Fund; </w:t>
      </w:r>
      <w:proofErr w:type="spellStart"/>
      <w:r w:rsidRPr="004415B7" w:rsidR="00235EFC">
        <w:rPr>
          <w:color w:val="auto"/>
        </w:rPr>
        <w:t>Roken</w:t>
      </w:r>
      <w:proofErr w:type="spellEnd"/>
      <w:r w:rsidRPr="004415B7" w:rsidR="00235EFC">
        <w:rPr>
          <w:color w:val="auto"/>
        </w:rPr>
        <w:t xml:space="preserve"> House; </w:t>
      </w:r>
      <w:r w:rsidRPr="004415B7" w:rsidR="00334936">
        <w:rPr>
          <w:color w:val="auto"/>
        </w:rPr>
        <w:t>Growth Deal Registered Provider Payments</w:t>
      </w:r>
    </w:p>
    <w:p w:rsidRPr="004415B7" w:rsidR="00B90A82" w:rsidP="00B55494" w:rsidRDefault="00B90A82" w14:paraId="04F97C22" w14:textId="6ECB8490">
      <w:pPr>
        <w:pStyle w:val="ListParagraph"/>
        <w:numPr>
          <w:ilvl w:val="0"/>
          <w:numId w:val="7"/>
        </w:numPr>
        <w:tabs>
          <w:tab w:val="clear" w:pos="426"/>
        </w:tabs>
        <w:ind w:left="1276" w:hanging="490"/>
        <w:rPr>
          <w:color w:val="auto"/>
        </w:rPr>
      </w:pPr>
      <w:r w:rsidRPr="004415B7">
        <w:rPr>
          <w:b/>
          <w:bCs/>
          <w:color w:val="auto"/>
        </w:rPr>
        <w:t xml:space="preserve">Housing Supply </w:t>
      </w:r>
      <w:r w:rsidRPr="004415B7">
        <w:rPr>
          <w:color w:val="auto"/>
        </w:rPr>
        <w:t>–</w:t>
      </w:r>
      <w:r w:rsidRPr="004415B7" w:rsidR="00C3726F">
        <w:rPr>
          <w:color w:val="auto"/>
        </w:rPr>
        <w:t xml:space="preserve"> </w:t>
      </w:r>
      <w:r w:rsidRPr="004415B7" w:rsidR="00331EC5">
        <w:rPr>
          <w:color w:val="auto"/>
        </w:rPr>
        <w:t>affordable housing supply</w:t>
      </w:r>
    </w:p>
    <w:p w:rsidRPr="004415B7" w:rsidR="00B90A82" w:rsidP="00B55494" w:rsidRDefault="00B90A82" w14:paraId="7E480F1C" w14:textId="24E9A21D">
      <w:pPr>
        <w:pStyle w:val="ListParagraph"/>
        <w:numPr>
          <w:ilvl w:val="0"/>
          <w:numId w:val="7"/>
        </w:numPr>
        <w:tabs>
          <w:tab w:val="clear" w:pos="426"/>
        </w:tabs>
        <w:ind w:left="1276" w:hanging="490"/>
        <w:rPr>
          <w:color w:val="auto"/>
        </w:rPr>
      </w:pPr>
      <w:r w:rsidRPr="004415B7">
        <w:rPr>
          <w:b/>
          <w:bCs/>
          <w:color w:val="auto"/>
        </w:rPr>
        <w:t xml:space="preserve">ICT Rolling Programme </w:t>
      </w:r>
      <w:r w:rsidRPr="004415B7" w:rsidR="009049F8">
        <w:rPr>
          <w:color w:val="auto"/>
        </w:rPr>
        <w:t>–</w:t>
      </w:r>
      <w:r w:rsidRPr="004415B7">
        <w:rPr>
          <w:color w:val="auto"/>
        </w:rPr>
        <w:t xml:space="preserve"> </w:t>
      </w:r>
      <w:r w:rsidRPr="004415B7" w:rsidR="009049F8">
        <w:rPr>
          <w:color w:val="auto"/>
        </w:rPr>
        <w:t xml:space="preserve">desktop/laptop computers, </w:t>
      </w:r>
      <w:r w:rsidRPr="004415B7" w:rsidR="009E1C28">
        <w:rPr>
          <w:color w:val="auto"/>
        </w:rPr>
        <w:t>t</w:t>
      </w:r>
      <w:r w:rsidRPr="004415B7" w:rsidR="009049F8">
        <w:rPr>
          <w:color w:val="auto"/>
        </w:rPr>
        <w:t xml:space="preserve">elephony </w:t>
      </w:r>
      <w:r w:rsidRPr="004415B7" w:rsidR="009E1C28">
        <w:rPr>
          <w:color w:val="auto"/>
        </w:rPr>
        <w:t>device refresh</w:t>
      </w:r>
    </w:p>
    <w:p w:rsidRPr="004415B7" w:rsidR="00107566" w:rsidP="00B55494" w:rsidRDefault="00107566" w14:paraId="00F7A270" w14:textId="2443D3A3">
      <w:pPr>
        <w:pStyle w:val="ListParagraph"/>
        <w:numPr>
          <w:ilvl w:val="0"/>
          <w:numId w:val="7"/>
        </w:numPr>
        <w:tabs>
          <w:tab w:val="clear" w:pos="426"/>
        </w:tabs>
        <w:ind w:left="1276" w:hanging="490"/>
        <w:rPr>
          <w:b/>
          <w:bCs/>
          <w:color w:val="auto"/>
        </w:rPr>
      </w:pPr>
      <w:r w:rsidRPr="004415B7">
        <w:rPr>
          <w:b/>
          <w:bCs/>
          <w:color w:val="auto"/>
        </w:rPr>
        <w:t xml:space="preserve">ICT </w:t>
      </w:r>
      <w:r w:rsidRPr="004415B7" w:rsidR="00D34646">
        <w:rPr>
          <w:b/>
          <w:bCs/>
          <w:color w:val="auto"/>
        </w:rPr>
        <w:t xml:space="preserve">Systems </w:t>
      </w:r>
      <w:r w:rsidRPr="004415B7">
        <w:rPr>
          <w:color w:val="auto"/>
        </w:rPr>
        <w:t>– MS365 and Cloud Migration; system upgrades</w:t>
      </w:r>
    </w:p>
    <w:p w:rsidRPr="004415B7" w:rsidR="00B90A82" w:rsidP="00B55494" w:rsidRDefault="00B90A82" w14:paraId="1DADA6C2" w14:textId="161B9F5A">
      <w:pPr>
        <w:pStyle w:val="ListParagraph"/>
        <w:numPr>
          <w:ilvl w:val="0"/>
          <w:numId w:val="7"/>
        </w:numPr>
        <w:tabs>
          <w:tab w:val="clear" w:pos="426"/>
        </w:tabs>
        <w:ind w:left="1276" w:hanging="490"/>
        <w:rPr>
          <w:b/>
          <w:bCs/>
          <w:color w:val="auto"/>
        </w:rPr>
      </w:pPr>
      <w:r w:rsidRPr="004415B7">
        <w:rPr>
          <w:b/>
          <w:bCs/>
          <w:color w:val="auto"/>
        </w:rPr>
        <w:t>Infrastructure</w:t>
      </w:r>
      <w:r w:rsidRPr="004415B7" w:rsidR="003E2E7D">
        <w:rPr>
          <w:color w:val="auto"/>
        </w:rPr>
        <w:t xml:space="preserve"> - </w:t>
      </w:r>
      <w:r w:rsidRPr="004415B7" w:rsidR="008C0B12">
        <w:rPr>
          <w:color w:val="auto"/>
        </w:rPr>
        <w:t xml:space="preserve">Cowley Branch Line; </w:t>
      </w:r>
      <w:r w:rsidRPr="004415B7" w:rsidR="003B1C33">
        <w:rPr>
          <w:color w:val="auto"/>
        </w:rPr>
        <w:t xml:space="preserve">Oxford Flood Alleviation Scheme; </w:t>
      </w:r>
      <w:r w:rsidRPr="004415B7" w:rsidR="00F11F68">
        <w:rPr>
          <w:color w:val="auto"/>
        </w:rPr>
        <w:t xml:space="preserve">HIF and Growth Deal </w:t>
      </w:r>
      <w:proofErr w:type="spellStart"/>
      <w:r w:rsidRPr="004415B7" w:rsidR="00F11F68">
        <w:rPr>
          <w:color w:val="auto"/>
        </w:rPr>
        <w:t>Osney</w:t>
      </w:r>
      <w:proofErr w:type="spellEnd"/>
      <w:r w:rsidRPr="004415B7" w:rsidR="00F11F68">
        <w:rPr>
          <w:color w:val="auto"/>
        </w:rPr>
        <w:t xml:space="preserve"> Bridge works and </w:t>
      </w:r>
      <w:r w:rsidR="005F3412">
        <w:rPr>
          <w:color w:val="auto"/>
        </w:rPr>
        <w:t>p</w:t>
      </w:r>
      <w:r w:rsidRPr="004415B7" w:rsidR="00F11F68">
        <w:rPr>
          <w:color w:val="auto"/>
        </w:rPr>
        <w:t xml:space="preserve">ath; </w:t>
      </w:r>
      <w:r w:rsidRPr="004415B7" w:rsidR="003E2E7D">
        <w:rPr>
          <w:color w:val="auto"/>
        </w:rPr>
        <w:t>Controlled Parking Zones</w:t>
      </w:r>
      <w:r w:rsidRPr="004415B7" w:rsidR="00625F4F">
        <w:rPr>
          <w:color w:val="auto"/>
        </w:rPr>
        <w:t>; Go Ultra Low Oxford projects</w:t>
      </w:r>
      <w:r w:rsidRPr="004415B7" w:rsidR="005A7BD5">
        <w:rPr>
          <w:color w:val="auto"/>
        </w:rPr>
        <w:t>; St Michael's Street Levelling Works</w:t>
      </w:r>
    </w:p>
    <w:p w:rsidRPr="004415B7" w:rsidR="00B90A82" w:rsidP="00B55494" w:rsidRDefault="00B90A82" w14:paraId="23FB3A34" w14:textId="1B90EB89">
      <w:pPr>
        <w:pStyle w:val="ListParagraph"/>
        <w:numPr>
          <w:ilvl w:val="0"/>
          <w:numId w:val="7"/>
        </w:numPr>
        <w:tabs>
          <w:tab w:val="clear" w:pos="426"/>
        </w:tabs>
        <w:ind w:left="1276" w:hanging="490"/>
        <w:rPr>
          <w:b/>
          <w:bCs/>
          <w:color w:val="auto"/>
        </w:rPr>
      </w:pPr>
      <w:r w:rsidRPr="004415B7">
        <w:rPr>
          <w:b/>
          <w:bCs/>
          <w:color w:val="auto"/>
        </w:rPr>
        <w:t>Investments</w:t>
      </w:r>
      <w:r w:rsidRPr="004415B7" w:rsidR="00807322">
        <w:rPr>
          <w:b/>
          <w:bCs/>
          <w:color w:val="auto"/>
        </w:rPr>
        <w:t>-</w:t>
      </w:r>
      <w:r w:rsidRPr="004415B7">
        <w:rPr>
          <w:b/>
          <w:bCs/>
          <w:color w:val="auto"/>
        </w:rPr>
        <w:t xml:space="preserve"> Improvement</w:t>
      </w:r>
      <w:r w:rsidRPr="004415B7" w:rsidR="00807322">
        <w:rPr>
          <w:b/>
          <w:bCs/>
          <w:color w:val="auto"/>
        </w:rPr>
        <w:t xml:space="preserve"> – </w:t>
      </w:r>
      <w:r w:rsidRPr="004415B7" w:rsidR="00554E12">
        <w:rPr>
          <w:color w:val="auto"/>
        </w:rPr>
        <w:t>C</w:t>
      </w:r>
      <w:r w:rsidRPr="004415B7" w:rsidR="00310F2B">
        <w:rPr>
          <w:color w:val="auto"/>
        </w:rPr>
        <w:t>ar parks resurfacing</w:t>
      </w:r>
      <w:r w:rsidRPr="004415B7" w:rsidR="00C83C13">
        <w:rPr>
          <w:color w:val="auto"/>
        </w:rPr>
        <w:t>, Decarbonisation Fund</w:t>
      </w:r>
      <w:r w:rsidRPr="004415B7" w:rsidR="005771A3">
        <w:rPr>
          <w:color w:val="auto"/>
        </w:rPr>
        <w:t xml:space="preserve">; </w:t>
      </w:r>
      <w:r w:rsidRPr="004415B7" w:rsidR="00A850A8">
        <w:rPr>
          <w:color w:val="auto"/>
        </w:rPr>
        <w:t xml:space="preserve">Leisure Invest to </w:t>
      </w:r>
      <w:proofErr w:type="gramStart"/>
      <w:r w:rsidRPr="004415B7" w:rsidR="00A850A8">
        <w:rPr>
          <w:color w:val="auto"/>
        </w:rPr>
        <w:t>Save</w:t>
      </w:r>
      <w:proofErr w:type="gramEnd"/>
      <w:r w:rsidRPr="004415B7" w:rsidR="00A850A8">
        <w:rPr>
          <w:color w:val="auto"/>
        </w:rPr>
        <w:t xml:space="preserve"> and </w:t>
      </w:r>
      <w:r w:rsidR="00C316D8">
        <w:rPr>
          <w:color w:val="auto"/>
        </w:rPr>
        <w:t>d</w:t>
      </w:r>
      <w:r w:rsidRPr="004415B7" w:rsidR="00A850A8">
        <w:rPr>
          <w:color w:val="auto"/>
        </w:rPr>
        <w:t xml:space="preserve">ilapidations works; </w:t>
      </w:r>
      <w:r w:rsidRPr="004415B7" w:rsidR="00B925BA">
        <w:rPr>
          <w:color w:val="auto"/>
        </w:rPr>
        <w:t xml:space="preserve">Leys Youth Hub; </w:t>
      </w:r>
      <w:r w:rsidRPr="004415B7" w:rsidR="005771A3">
        <w:rPr>
          <w:color w:val="auto"/>
        </w:rPr>
        <w:t>Waterways investment</w:t>
      </w:r>
      <w:r w:rsidRPr="004415B7" w:rsidR="00F71879">
        <w:rPr>
          <w:color w:val="auto"/>
        </w:rPr>
        <w:t xml:space="preserve">; Broad </w:t>
      </w:r>
      <w:r w:rsidR="00C316D8">
        <w:rPr>
          <w:color w:val="auto"/>
        </w:rPr>
        <w:t>S</w:t>
      </w:r>
      <w:r w:rsidRPr="004415B7" w:rsidR="00F71879">
        <w:rPr>
          <w:color w:val="auto"/>
        </w:rPr>
        <w:t xml:space="preserve">treet roofing </w:t>
      </w:r>
      <w:r w:rsidR="00C316D8">
        <w:rPr>
          <w:color w:val="auto"/>
        </w:rPr>
        <w:t>and f</w:t>
      </w:r>
      <w:r w:rsidRPr="004415B7" w:rsidR="00F71879">
        <w:rPr>
          <w:color w:val="auto"/>
        </w:rPr>
        <w:t>açade project</w:t>
      </w:r>
      <w:r w:rsidRPr="004415B7" w:rsidR="00FC3DE7">
        <w:rPr>
          <w:color w:val="auto"/>
        </w:rPr>
        <w:t>; Town Hall works</w:t>
      </w:r>
      <w:r w:rsidRPr="004415B7" w:rsidR="0024200A">
        <w:rPr>
          <w:color w:val="auto"/>
        </w:rPr>
        <w:t xml:space="preserve">; Stock </w:t>
      </w:r>
      <w:r w:rsidR="00C316D8">
        <w:rPr>
          <w:color w:val="auto"/>
        </w:rPr>
        <w:t>c</w:t>
      </w:r>
      <w:r w:rsidRPr="004415B7" w:rsidR="0024200A">
        <w:rPr>
          <w:color w:val="auto"/>
        </w:rPr>
        <w:t xml:space="preserve">ondition </w:t>
      </w:r>
      <w:r w:rsidR="00C316D8">
        <w:rPr>
          <w:color w:val="auto"/>
        </w:rPr>
        <w:t>s</w:t>
      </w:r>
      <w:r w:rsidRPr="004415B7" w:rsidR="0024200A">
        <w:rPr>
          <w:color w:val="auto"/>
        </w:rPr>
        <w:t xml:space="preserve">urveys; Planned </w:t>
      </w:r>
      <w:r w:rsidR="00C316D8">
        <w:rPr>
          <w:color w:val="auto"/>
        </w:rPr>
        <w:t>b</w:t>
      </w:r>
      <w:r w:rsidRPr="004415B7" w:rsidR="0024200A">
        <w:rPr>
          <w:color w:val="auto"/>
        </w:rPr>
        <w:t xml:space="preserve">uilding </w:t>
      </w:r>
      <w:r w:rsidR="00B806A1">
        <w:rPr>
          <w:color w:val="auto"/>
        </w:rPr>
        <w:t>m</w:t>
      </w:r>
      <w:r w:rsidRPr="004415B7" w:rsidR="0024200A">
        <w:rPr>
          <w:color w:val="auto"/>
        </w:rPr>
        <w:t>aintenance</w:t>
      </w:r>
    </w:p>
    <w:p w:rsidRPr="004415B7" w:rsidR="00BA1DD0" w:rsidRDefault="00807322" w14:paraId="76119410" w14:textId="391D1CBF">
      <w:pPr>
        <w:pStyle w:val="ListParagraph"/>
        <w:numPr>
          <w:ilvl w:val="0"/>
          <w:numId w:val="7"/>
        </w:numPr>
        <w:tabs>
          <w:tab w:val="clear" w:pos="426"/>
        </w:tabs>
        <w:ind w:left="1276" w:hanging="490"/>
        <w:rPr>
          <w:color w:val="auto"/>
        </w:rPr>
      </w:pPr>
      <w:r w:rsidRPr="004415B7">
        <w:rPr>
          <w:b/>
          <w:bCs/>
          <w:color w:val="auto"/>
        </w:rPr>
        <w:t xml:space="preserve">Loans </w:t>
      </w:r>
      <w:r w:rsidRPr="004415B7">
        <w:rPr>
          <w:color w:val="auto"/>
        </w:rPr>
        <w:t xml:space="preserve">– </w:t>
      </w:r>
      <w:proofErr w:type="spellStart"/>
      <w:r w:rsidRPr="004415B7" w:rsidR="00B952A0">
        <w:rPr>
          <w:color w:val="auto"/>
        </w:rPr>
        <w:t>OxWED</w:t>
      </w:r>
      <w:proofErr w:type="spellEnd"/>
      <w:r w:rsidRPr="004415B7" w:rsidR="00B952A0">
        <w:rPr>
          <w:color w:val="auto"/>
        </w:rPr>
        <w:t xml:space="preserve"> Loans</w:t>
      </w:r>
      <w:r w:rsidRPr="004415B7" w:rsidR="00625F4F">
        <w:rPr>
          <w:color w:val="auto"/>
        </w:rPr>
        <w:t>;</w:t>
      </w:r>
      <w:r w:rsidRPr="004415B7" w:rsidR="009F6E25">
        <w:rPr>
          <w:color w:val="auto"/>
        </w:rPr>
        <w:t xml:space="preserve"> </w:t>
      </w:r>
      <w:r w:rsidRPr="004415B7" w:rsidR="00BA1DD0">
        <w:rPr>
          <w:color w:val="auto"/>
        </w:rPr>
        <w:t xml:space="preserve">loans to </w:t>
      </w:r>
      <w:proofErr w:type="spellStart"/>
      <w:r w:rsidRPr="004415B7" w:rsidR="00BA1DD0">
        <w:rPr>
          <w:color w:val="auto"/>
        </w:rPr>
        <w:t>OxPlace</w:t>
      </w:r>
      <w:proofErr w:type="spellEnd"/>
      <w:r w:rsidR="00B806A1">
        <w:rPr>
          <w:color w:val="auto"/>
        </w:rPr>
        <w:t>, the council’s housing company</w:t>
      </w:r>
      <w:r w:rsidRPr="004415B7" w:rsidR="00BA1DD0">
        <w:rPr>
          <w:color w:val="auto"/>
        </w:rPr>
        <w:t xml:space="preserve"> </w:t>
      </w:r>
    </w:p>
    <w:p w:rsidRPr="004415B7" w:rsidR="00807322" w:rsidP="00946232" w:rsidRDefault="00807322" w14:paraId="017FC7B4" w14:textId="56C45856">
      <w:pPr>
        <w:pStyle w:val="ListParagraph"/>
        <w:numPr>
          <w:ilvl w:val="0"/>
          <w:numId w:val="7"/>
        </w:numPr>
        <w:tabs>
          <w:tab w:val="clear" w:pos="426"/>
        </w:tabs>
        <w:ind w:left="1276" w:hanging="490"/>
        <w:rPr>
          <w:color w:val="auto"/>
          <w:u w:val="single"/>
        </w:rPr>
      </w:pPr>
      <w:r w:rsidRPr="004415B7">
        <w:rPr>
          <w:b/>
          <w:bCs/>
          <w:color w:val="auto"/>
        </w:rPr>
        <w:t>Rolling Programme</w:t>
      </w:r>
      <w:r w:rsidRPr="004415B7" w:rsidR="005B75B3">
        <w:rPr>
          <w:b/>
          <w:bCs/>
          <w:color w:val="auto"/>
        </w:rPr>
        <w:t xml:space="preserve"> </w:t>
      </w:r>
      <w:r w:rsidRPr="004415B7" w:rsidR="00D62B04">
        <w:rPr>
          <w:color w:val="auto"/>
        </w:rPr>
        <w:t>–</w:t>
      </w:r>
      <w:r w:rsidRPr="004415B7" w:rsidR="005B75B3">
        <w:rPr>
          <w:color w:val="auto"/>
        </w:rPr>
        <w:t xml:space="preserve"> </w:t>
      </w:r>
      <w:r w:rsidRPr="004415B7" w:rsidR="005F6567">
        <w:rPr>
          <w:color w:val="auto"/>
        </w:rPr>
        <w:t>ODS Fleet</w:t>
      </w:r>
      <w:r w:rsidRPr="004415B7" w:rsidR="00D62B04">
        <w:rPr>
          <w:color w:val="auto"/>
        </w:rPr>
        <w:t xml:space="preserve"> Replacement Programme</w:t>
      </w:r>
      <w:r w:rsidRPr="004415B7" w:rsidR="00625F4F">
        <w:rPr>
          <w:color w:val="auto"/>
        </w:rPr>
        <w:t>;</w:t>
      </w:r>
      <w:r w:rsidRPr="004415B7" w:rsidR="00172368">
        <w:rPr>
          <w:color w:val="auto"/>
        </w:rPr>
        <w:t xml:space="preserve"> Disabled Facilities Grant</w:t>
      </w:r>
      <w:r w:rsidRPr="004415B7" w:rsidR="00257523">
        <w:rPr>
          <w:color w:val="auto"/>
        </w:rPr>
        <w:t>s</w:t>
      </w:r>
      <w:r w:rsidRPr="004415B7" w:rsidR="00625F4F">
        <w:rPr>
          <w:color w:val="auto"/>
        </w:rPr>
        <w:t>;</w:t>
      </w:r>
      <w:r w:rsidRPr="004415B7" w:rsidR="00946232">
        <w:rPr>
          <w:color w:val="auto"/>
        </w:rPr>
        <w:t xml:space="preserve"> Capitalised </w:t>
      </w:r>
      <w:r w:rsidR="008C28D5">
        <w:rPr>
          <w:color w:val="auto"/>
        </w:rPr>
        <w:t>s</w:t>
      </w:r>
      <w:r w:rsidRPr="004415B7" w:rsidR="00946232">
        <w:rPr>
          <w:color w:val="auto"/>
        </w:rPr>
        <w:t>alaries budget.</w:t>
      </w:r>
    </w:p>
    <w:p w:rsidRPr="004415B7" w:rsidR="005B75B3" w:rsidP="00B55494" w:rsidRDefault="005B75B3" w14:paraId="22BC9F71" w14:textId="18E40480">
      <w:pPr>
        <w:pStyle w:val="ListParagraph"/>
        <w:numPr>
          <w:ilvl w:val="0"/>
          <w:numId w:val="7"/>
        </w:numPr>
        <w:tabs>
          <w:tab w:val="clear" w:pos="426"/>
        </w:tabs>
        <w:ind w:left="1276" w:hanging="490"/>
        <w:rPr>
          <w:color w:val="auto"/>
        </w:rPr>
      </w:pPr>
      <w:r w:rsidRPr="004415B7">
        <w:rPr>
          <w:b/>
          <w:bCs/>
          <w:color w:val="auto"/>
        </w:rPr>
        <w:t xml:space="preserve">Project/Other Capital Spend - </w:t>
      </w:r>
      <w:r w:rsidRPr="004415B7" w:rsidR="00736247">
        <w:rPr>
          <w:color w:val="auto"/>
        </w:rPr>
        <w:t xml:space="preserve">UK Shared Prosperity Fund Investment </w:t>
      </w:r>
      <w:proofErr w:type="gramStart"/>
      <w:r w:rsidRPr="004415B7" w:rsidR="00736247">
        <w:rPr>
          <w:color w:val="auto"/>
        </w:rPr>
        <w:t>Plan</w:t>
      </w:r>
      <w:r w:rsidRPr="004415B7" w:rsidR="0062339C">
        <w:rPr>
          <w:color w:val="auto"/>
        </w:rPr>
        <w:t>;</w:t>
      </w:r>
      <w:proofErr w:type="gramEnd"/>
      <w:r w:rsidRPr="004415B7" w:rsidR="0062339C">
        <w:rPr>
          <w:color w:val="auto"/>
        </w:rPr>
        <w:t xml:space="preserve"> Archive </w:t>
      </w:r>
      <w:r w:rsidR="008C28D5">
        <w:rPr>
          <w:color w:val="auto"/>
        </w:rPr>
        <w:t>s</w:t>
      </w:r>
      <w:r w:rsidRPr="004415B7" w:rsidR="0062339C">
        <w:rPr>
          <w:color w:val="auto"/>
        </w:rPr>
        <w:t xml:space="preserve">canning </w:t>
      </w:r>
      <w:r w:rsidR="008C28D5">
        <w:rPr>
          <w:color w:val="auto"/>
        </w:rPr>
        <w:t>p</w:t>
      </w:r>
      <w:r w:rsidRPr="004415B7" w:rsidR="0062339C">
        <w:rPr>
          <w:color w:val="auto"/>
        </w:rPr>
        <w:t>roject</w:t>
      </w:r>
    </w:p>
    <w:p w:rsidRPr="00A76EB2" w:rsidR="00A76EB2" w:rsidP="00A76EB2" w:rsidRDefault="00A76EB2" w14:paraId="062C7F12" w14:textId="77777777">
      <w:pPr>
        <w:ind w:left="426"/>
        <w:rPr>
          <w:color w:val="auto"/>
          <w:u w:val="single"/>
        </w:rPr>
      </w:pPr>
    </w:p>
    <w:p w:rsidRPr="00525AFC" w:rsidR="00107566" w:rsidP="00525AFC" w:rsidRDefault="00107566" w14:paraId="43D878BB" w14:textId="6C153F5B">
      <w:pPr>
        <w:pStyle w:val="ListParagraph"/>
        <w:numPr>
          <w:ilvl w:val="0"/>
          <w:numId w:val="5"/>
        </w:numPr>
        <w:rPr>
          <w:color w:val="auto"/>
          <w:u w:val="single"/>
        </w:rPr>
      </w:pPr>
      <w:r w:rsidRPr="00525AFC">
        <w:rPr>
          <w:color w:val="auto"/>
          <w:u w:val="single"/>
        </w:rPr>
        <w:t>Key Budget Re-profile changes and Forecast slippages at Q</w:t>
      </w:r>
      <w:r w:rsidRPr="00525AFC" w:rsidR="008B6EEF">
        <w:rPr>
          <w:color w:val="auto"/>
          <w:u w:val="single"/>
        </w:rPr>
        <w:t>2</w:t>
      </w:r>
      <w:r w:rsidRPr="00525AFC">
        <w:rPr>
          <w:color w:val="auto"/>
          <w:u w:val="single"/>
        </w:rPr>
        <w:t xml:space="preserve"> include:</w:t>
      </w:r>
    </w:p>
    <w:p w:rsidRPr="004415B7" w:rsidR="00A653DA" w:rsidP="00B55494" w:rsidRDefault="00A653DA" w14:paraId="71CE55E0" w14:textId="1DAA2623">
      <w:pPr>
        <w:pStyle w:val="ListParagraph"/>
        <w:numPr>
          <w:ilvl w:val="0"/>
          <w:numId w:val="7"/>
        </w:numPr>
        <w:tabs>
          <w:tab w:val="clear" w:pos="426"/>
        </w:tabs>
        <w:ind w:left="1276" w:hanging="490"/>
      </w:pPr>
      <w:r w:rsidRPr="004415B7">
        <w:rPr>
          <w:b/>
          <w:bCs/>
        </w:rPr>
        <w:t xml:space="preserve">ODS Fleet </w:t>
      </w:r>
      <w:r w:rsidRPr="004415B7" w:rsidR="00021314">
        <w:rPr>
          <w:b/>
          <w:bCs/>
        </w:rPr>
        <w:t>Replacement Programme</w:t>
      </w:r>
      <w:r w:rsidRPr="004415B7" w:rsidR="00021314">
        <w:t xml:space="preserve"> </w:t>
      </w:r>
      <w:r w:rsidRPr="004415B7" w:rsidR="006C049A">
        <w:t>–</w:t>
      </w:r>
      <w:r w:rsidRPr="004415B7" w:rsidR="00021314">
        <w:t xml:space="preserve"> </w:t>
      </w:r>
      <w:r w:rsidRPr="004415B7" w:rsidR="006C049A">
        <w:t xml:space="preserve">a slippage of </w:t>
      </w:r>
      <w:r w:rsidRPr="004415B7" w:rsidR="00021314">
        <w:t xml:space="preserve">£1.744m </w:t>
      </w:r>
      <w:r w:rsidRPr="004415B7" w:rsidR="001E764B">
        <w:t>(30% of the bu</w:t>
      </w:r>
      <w:r w:rsidRPr="004415B7" w:rsidR="006C049A">
        <w:t>dget) is</w:t>
      </w:r>
      <w:r w:rsidRPr="004415B7" w:rsidR="00021314">
        <w:t xml:space="preserve"> forecast. </w:t>
      </w:r>
      <w:r w:rsidRPr="004415B7" w:rsidR="00C54BB7">
        <w:t xml:space="preserve">A </w:t>
      </w:r>
      <w:r w:rsidRPr="004415B7" w:rsidR="006D7592">
        <w:t xml:space="preserve">full </w:t>
      </w:r>
      <w:r w:rsidRPr="004415B7" w:rsidR="00C54BB7">
        <w:t>review o</w:t>
      </w:r>
      <w:r w:rsidRPr="004415B7" w:rsidR="00545461">
        <w:t>f</w:t>
      </w:r>
      <w:r w:rsidRPr="004415B7" w:rsidR="00C54BB7">
        <w:t xml:space="preserve"> the procurement process </w:t>
      </w:r>
      <w:r w:rsidRPr="004415B7" w:rsidR="006D7592">
        <w:t xml:space="preserve">has </w:t>
      </w:r>
      <w:r w:rsidRPr="004415B7" w:rsidR="00545461">
        <w:t>delay</w:t>
      </w:r>
      <w:r w:rsidRPr="004415B7" w:rsidR="009056CB">
        <w:t>ed</w:t>
      </w:r>
      <w:r w:rsidRPr="004415B7" w:rsidR="00545461">
        <w:t xml:space="preserve"> ordering new assets </w:t>
      </w:r>
      <w:r w:rsidRPr="004415B7" w:rsidR="00B41155">
        <w:t xml:space="preserve">and </w:t>
      </w:r>
      <w:r w:rsidRPr="004415B7" w:rsidR="00545461">
        <w:t>informed this latest forecast</w:t>
      </w:r>
      <w:r w:rsidRPr="004415B7" w:rsidR="00DF3A62">
        <w:t>. Much of the asset procurement is expected to roll over into 2026/27</w:t>
      </w:r>
      <w:r w:rsidRPr="004415B7" w:rsidR="007E0D12">
        <w:t>.</w:t>
      </w:r>
    </w:p>
    <w:p w:rsidRPr="004415B7" w:rsidR="00BC04CF" w:rsidP="00B55494" w:rsidRDefault="00BC04CF" w14:paraId="4ECD9A88" w14:textId="60FC7CA4">
      <w:pPr>
        <w:pStyle w:val="ListParagraph"/>
        <w:numPr>
          <w:ilvl w:val="0"/>
          <w:numId w:val="7"/>
        </w:numPr>
        <w:tabs>
          <w:tab w:val="clear" w:pos="426"/>
        </w:tabs>
        <w:ind w:left="1276" w:hanging="490"/>
      </w:pPr>
      <w:r w:rsidRPr="004415B7">
        <w:rPr>
          <w:b/>
          <w:bCs/>
        </w:rPr>
        <w:t>New Burial Space</w:t>
      </w:r>
      <w:r w:rsidRPr="004415B7">
        <w:t xml:space="preserve"> - £0.</w:t>
      </w:r>
      <w:r w:rsidRPr="004415B7" w:rsidR="001E4506">
        <w:t>3</w:t>
      </w:r>
      <w:r w:rsidRPr="004415B7">
        <w:t xml:space="preserve">m slippage forecast for 2025/26 due to extended timescales of </w:t>
      </w:r>
      <w:r w:rsidR="001D05CE">
        <w:t xml:space="preserve">the </w:t>
      </w:r>
      <w:r w:rsidRPr="004415B7">
        <w:t xml:space="preserve">Environment Agency and </w:t>
      </w:r>
      <w:r w:rsidR="001D05CE">
        <w:t xml:space="preserve">the </w:t>
      </w:r>
      <w:r w:rsidRPr="004415B7">
        <w:t>Highways</w:t>
      </w:r>
      <w:r w:rsidR="001D05CE">
        <w:t xml:space="preserve"> Authority</w:t>
      </w:r>
      <w:r w:rsidRPr="004415B7">
        <w:t xml:space="preserve"> to remove their objections to enable approval of planning application for change of use of land. This is necessary to allow more than 100 burials per year on the land.</w:t>
      </w:r>
      <w:r w:rsidRPr="004415B7" w:rsidR="00912385">
        <w:t xml:space="preserve"> Planning approval expected November 2025.</w:t>
      </w:r>
    </w:p>
    <w:p w:rsidRPr="004415B7" w:rsidR="00F11DD9" w:rsidP="00B55494" w:rsidRDefault="00F11DD9" w14:paraId="2BE8495B" w14:textId="164A07BD">
      <w:pPr>
        <w:pStyle w:val="ListParagraph"/>
        <w:numPr>
          <w:ilvl w:val="0"/>
          <w:numId w:val="7"/>
        </w:numPr>
        <w:tabs>
          <w:tab w:val="clear" w:pos="426"/>
        </w:tabs>
        <w:ind w:left="1276" w:hanging="490"/>
      </w:pPr>
      <w:r w:rsidRPr="004415B7">
        <w:rPr>
          <w:b/>
          <w:bCs/>
        </w:rPr>
        <w:t xml:space="preserve">Blackbird Leys Regenerations (GF element) </w:t>
      </w:r>
      <w:r w:rsidRPr="004415B7">
        <w:t>- £</w:t>
      </w:r>
      <w:r w:rsidRPr="004415B7" w:rsidR="00294796">
        <w:t>0.19m slippage forecast for 2025/26</w:t>
      </w:r>
      <w:r w:rsidRPr="004415B7" w:rsidR="003B0E5E">
        <w:t xml:space="preserve">. </w:t>
      </w:r>
      <w:r w:rsidRPr="004415B7" w:rsidR="00455477">
        <w:t xml:space="preserve">Anticipated date to start on site for shell and core now slipped to </w:t>
      </w:r>
      <w:r w:rsidRPr="004415B7" w:rsidR="008551D9">
        <w:t xml:space="preserve">October/November 2025 with completion now </w:t>
      </w:r>
      <w:r w:rsidRPr="004415B7" w:rsidR="00A653DA">
        <w:t xml:space="preserve">predicted for </w:t>
      </w:r>
      <w:r w:rsidRPr="004415B7" w:rsidR="008551D9">
        <w:t>March 2027.</w:t>
      </w:r>
    </w:p>
    <w:p w:rsidRPr="004415B7" w:rsidR="00AC3160" w:rsidP="00B55494" w:rsidRDefault="00AC3160" w14:paraId="384E91C4" w14:textId="0A8E59B7">
      <w:pPr>
        <w:pStyle w:val="ListParagraph"/>
        <w:numPr>
          <w:ilvl w:val="0"/>
          <w:numId w:val="7"/>
        </w:numPr>
        <w:tabs>
          <w:tab w:val="clear" w:pos="426"/>
        </w:tabs>
        <w:ind w:left="1276" w:hanging="490"/>
      </w:pPr>
      <w:r w:rsidRPr="004415B7">
        <w:rPr>
          <w:b/>
          <w:bCs/>
        </w:rPr>
        <w:t>St. Michael’s Street Levelling Works</w:t>
      </w:r>
      <w:r w:rsidRPr="004415B7">
        <w:t xml:space="preserve"> - £0.</w:t>
      </w:r>
      <w:r w:rsidRPr="004415B7" w:rsidR="0087436B">
        <w:t>152</w:t>
      </w:r>
      <w:r w:rsidRPr="004415B7">
        <w:t>m pressure</w:t>
      </w:r>
      <w:r w:rsidRPr="004415B7" w:rsidR="0087436B">
        <w:t xml:space="preserve"> forecast</w:t>
      </w:r>
      <w:r w:rsidRPr="004415B7">
        <w:t xml:space="preserve"> for 2025/26 with final edge works being completed and valuation/safety audit to follow.</w:t>
      </w:r>
    </w:p>
    <w:p w:rsidRPr="004415B7" w:rsidR="00107566" w:rsidP="00A764BE" w:rsidRDefault="00107566" w14:paraId="190FAC7F" w14:textId="77777777">
      <w:pPr>
        <w:pStyle w:val="ListParagraph"/>
        <w:tabs>
          <w:tab w:val="clear" w:pos="426"/>
          <w:tab w:val="left" w:pos="1701"/>
        </w:tabs>
        <w:spacing w:after="0"/>
        <w:ind w:left="709"/>
      </w:pPr>
    </w:p>
    <w:p w:rsidRPr="004415B7" w:rsidR="00107566" w:rsidP="00AD7C78" w:rsidRDefault="00107566" w14:paraId="0959482D" w14:textId="4959C838">
      <w:pPr>
        <w:pStyle w:val="Heading1"/>
        <w:spacing w:before="0"/>
        <w:rPr>
          <w:color w:val="auto"/>
        </w:rPr>
      </w:pPr>
      <w:r w:rsidRPr="004415B7">
        <w:rPr>
          <w:color w:val="auto"/>
        </w:rPr>
        <w:t>HRA</w:t>
      </w:r>
      <w:r w:rsidRPr="004415B7" w:rsidR="00415FA3">
        <w:rPr>
          <w:color w:val="auto"/>
        </w:rPr>
        <w:t xml:space="preserve"> Capital</w:t>
      </w:r>
    </w:p>
    <w:p w:rsidRPr="004415B7" w:rsidR="00B70FD8" w:rsidP="00BC1C2C" w:rsidRDefault="00107566" w14:paraId="09227DCF" w14:textId="757C6B77">
      <w:pPr>
        <w:pStyle w:val="ListParagraph"/>
        <w:numPr>
          <w:ilvl w:val="0"/>
          <w:numId w:val="5"/>
        </w:numPr>
        <w:rPr>
          <w:color w:val="auto"/>
        </w:rPr>
      </w:pPr>
      <w:r w:rsidRPr="004415B7">
        <w:rPr>
          <w:color w:val="auto"/>
        </w:rPr>
        <w:t>A summary of the HRA schemes by project type is shown in Fig.3 below</w:t>
      </w:r>
      <w:r w:rsidRPr="004415B7" w:rsidR="00F02AE0">
        <w:rPr>
          <w:color w:val="auto"/>
        </w:rPr>
        <w:t xml:space="preserve">. </w:t>
      </w:r>
      <w:r w:rsidRPr="004415B7" w:rsidR="008342DC">
        <w:rPr>
          <w:color w:val="auto"/>
        </w:rPr>
        <w:t>27% of the latest HRA Capital budget</w:t>
      </w:r>
      <w:r w:rsidRPr="004415B7" w:rsidR="00C51FCB">
        <w:rPr>
          <w:color w:val="auto"/>
        </w:rPr>
        <w:t xml:space="preserve"> for 2025/26</w:t>
      </w:r>
      <w:r w:rsidRPr="004415B7" w:rsidR="008342DC">
        <w:rPr>
          <w:color w:val="auto"/>
        </w:rPr>
        <w:t xml:space="preserve"> has been spent by 30 September 2025. </w:t>
      </w:r>
      <w:r w:rsidRPr="004415B7" w:rsidR="00F02AE0">
        <w:rPr>
          <w:color w:val="auto"/>
        </w:rPr>
        <w:t>T</w:t>
      </w:r>
      <w:r w:rsidRPr="004415B7">
        <w:rPr>
          <w:color w:val="auto"/>
        </w:rPr>
        <w:t>his shows</w:t>
      </w:r>
      <w:r w:rsidRPr="004415B7" w:rsidR="00F02AE0">
        <w:rPr>
          <w:color w:val="auto"/>
        </w:rPr>
        <w:t xml:space="preserve"> that the significant element (</w:t>
      </w:r>
      <w:r w:rsidRPr="004415B7" w:rsidR="0081070A">
        <w:rPr>
          <w:color w:val="auto"/>
        </w:rPr>
        <w:t>62</w:t>
      </w:r>
      <w:r w:rsidRPr="004415B7" w:rsidR="00F02AE0">
        <w:rPr>
          <w:color w:val="auto"/>
        </w:rPr>
        <w:t xml:space="preserve">%) of the HRA capital programme is </w:t>
      </w:r>
      <w:r w:rsidRPr="004415B7" w:rsidR="00A04061">
        <w:rPr>
          <w:color w:val="auto"/>
        </w:rPr>
        <w:t>classified as Housing Supply</w:t>
      </w:r>
      <w:r w:rsidRPr="004415B7" w:rsidR="00DF7124">
        <w:rPr>
          <w:color w:val="auto"/>
        </w:rPr>
        <w:t xml:space="preserve">, i.e. </w:t>
      </w:r>
      <w:r w:rsidRPr="004415B7" w:rsidR="00F02AE0">
        <w:rPr>
          <w:color w:val="auto"/>
        </w:rPr>
        <w:t xml:space="preserve">housing acquisitions and developments. </w:t>
      </w:r>
    </w:p>
    <w:p w:rsidRPr="004415B7" w:rsidR="007866D1" w:rsidP="00E83551" w:rsidRDefault="00F02AE0" w14:paraId="0BF49DFE" w14:textId="77777777">
      <w:pPr>
        <w:ind w:left="786"/>
        <w:rPr>
          <w:color w:val="auto"/>
        </w:rPr>
      </w:pPr>
      <w:r w:rsidRPr="004415B7">
        <w:rPr>
          <w:color w:val="auto"/>
        </w:rPr>
        <w:t xml:space="preserve">The </w:t>
      </w:r>
      <w:r w:rsidRPr="004415B7" w:rsidR="008A43BF">
        <w:rPr>
          <w:color w:val="auto"/>
        </w:rPr>
        <w:t xml:space="preserve">Investment Improvements </w:t>
      </w:r>
      <w:r w:rsidRPr="004415B7" w:rsidR="00B70FD8">
        <w:rPr>
          <w:color w:val="auto"/>
        </w:rPr>
        <w:t xml:space="preserve">classification </w:t>
      </w:r>
      <w:r w:rsidRPr="004415B7">
        <w:rPr>
          <w:color w:val="auto"/>
        </w:rPr>
        <w:t xml:space="preserve">relates to works required, which have been included in the new programme model and include items such as Fire Safety, Structural works and decency (damp and mould, etc.). </w:t>
      </w:r>
    </w:p>
    <w:p w:rsidRPr="004415B7" w:rsidR="00107566" w:rsidP="00E83551" w:rsidRDefault="00F02AE0" w14:paraId="41329720" w14:textId="220B861A">
      <w:pPr>
        <w:ind w:left="786"/>
        <w:rPr>
          <w:color w:val="auto"/>
        </w:rPr>
      </w:pPr>
      <w:r w:rsidRPr="004415B7">
        <w:rPr>
          <w:color w:val="auto"/>
        </w:rPr>
        <w:t>A</w:t>
      </w:r>
      <w:r w:rsidRPr="004415B7" w:rsidR="00107566">
        <w:rPr>
          <w:color w:val="auto"/>
        </w:rPr>
        <w:t xml:space="preserve">pproximately </w:t>
      </w:r>
      <w:r w:rsidRPr="004415B7" w:rsidR="007866D1">
        <w:rPr>
          <w:color w:val="auto"/>
        </w:rPr>
        <w:t>14</w:t>
      </w:r>
      <w:r w:rsidRPr="004415B7" w:rsidR="00107566">
        <w:rPr>
          <w:color w:val="auto"/>
        </w:rPr>
        <w:t>% of the capital programme is a rolling programme, for example kitchen and bathroom replacements, heating, and electrics etc</w:t>
      </w:r>
      <w:r w:rsidRPr="004415B7" w:rsidR="00924310">
        <w:rPr>
          <w:color w:val="auto"/>
        </w:rPr>
        <w:t>.</w:t>
      </w:r>
    </w:p>
    <w:p w:rsidRPr="004415B7" w:rsidR="000E0CB7" w:rsidP="00E83551" w:rsidRDefault="000E0CB7" w14:paraId="5FDBE96F" w14:textId="02B34E6B">
      <w:pPr>
        <w:ind w:left="786"/>
        <w:rPr>
          <w:color w:val="auto"/>
        </w:rPr>
      </w:pPr>
      <w:r w:rsidRPr="004415B7">
        <w:rPr>
          <w:color w:val="auto"/>
        </w:rPr>
        <w:t>Develop</w:t>
      </w:r>
      <w:r w:rsidRPr="004415B7" w:rsidR="002B78D8">
        <w:rPr>
          <w:color w:val="auto"/>
        </w:rPr>
        <w:t>ment Projects include Masons Road Refurbishment; the East Oxford Development</w:t>
      </w:r>
      <w:r w:rsidRPr="004415B7" w:rsidR="00744D59">
        <w:rPr>
          <w:color w:val="auto"/>
        </w:rPr>
        <w:t xml:space="preserve"> and Blackbird Leys Regeneration (HRA)</w:t>
      </w:r>
      <w:r w:rsidR="002910E0">
        <w:rPr>
          <w:color w:val="auto"/>
        </w:rPr>
        <w:t>.</w:t>
      </w:r>
    </w:p>
    <w:p w:rsidRPr="004415B7" w:rsidR="00470F81" w:rsidP="00E83551" w:rsidRDefault="00470F81" w14:paraId="4B72497A" w14:textId="33D422C2">
      <w:pPr>
        <w:ind w:left="786"/>
        <w:rPr>
          <w:color w:val="auto"/>
        </w:rPr>
      </w:pPr>
      <w:r w:rsidRPr="004415B7">
        <w:rPr>
          <w:color w:val="auto"/>
        </w:rPr>
        <w:t xml:space="preserve">Other Capital Spend </w:t>
      </w:r>
      <w:r w:rsidRPr="004415B7" w:rsidR="00C82477">
        <w:rPr>
          <w:color w:val="auto"/>
        </w:rPr>
        <w:t xml:space="preserve">classification </w:t>
      </w:r>
      <w:r w:rsidRPr="004415B7">
        <w:rPr>
          <w:color w:val="auto"/>
        </w:rPr>
        <w:t xml:space="preserve">relates </w:t>
      </w:r>
      <w:r w:rsidRPr="004415B7" w:rsidR="003A6DD9">
        <w:rPr>
          <w:color w:val="auto"/>
        </w:rPr>
        <w:t xml:space="preserve">mainly to </w:t>
      </w:r>
      <w:r w:rsidRPr="004415B7" w:rsidR="00063E0B">
        <w:rPr>
          <w:color w:val="auto"/>
        </w:rPr>
        <w:t>Southfield Park Leases</w:t>
      </w:r>
      <w:r w:rsidR="002910E0">
        <w:rPr>
          <w:color w:val="auto"/>
        </w:rPr>
        <w:t>.</w:t>
      </w:r>
    </w:p>
    <w:p w:rsidRPr="004415B7" w:rsidR="00464D05" w:rsidP="00D07CC1" w:rsidRDefault="004503C6" w14:paraId="27B70A61" w14:textId="2814B77E">
      <w:pPr>
        <w:pStyle w:val="ListParagraph"/>
        <w:ind w:left="357"/>
        <w:rPr>
          <w:color w:val="auto"/>
          <w:sz w:val="16"/>
          <w:szCs w:val="16"/>
        </w:rPr>
      </w:pPr>
      <w:r w:rsidRPr="004415B7">
        <w:rPr>
          <w:noProof/>
        </w:rPr>
        <w:drawing>
          <wp:inline distT="0" distB="0" distL="0" distR="0" wp14:anchorId="4E5A1323" wp14:editId="41F74D8D">
            <wp:extent cx="5904230" cy="1614170"/>
            <wp:effectExtent l="0" t="0" r="1270" b="5080"/>
            <wp:docPr id="12559274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4230" cy="1614170"/>
                    </a:xfrm>
                    <a:prstGeom prst="rect">
                      <a:avLst/>
                    </a:prstGeom>
                    <a:noFill/>
                    <a:ln>
                      <a:noFill/>
                    </a:ln>
                  </pic:spPr>
                </pic:pic>
              </a:graphicData>
            </a:graphic>
          </wp:inline>
        </w:drawing>
      </w:r>
    </w:p>
    <w:p w:rsidRPr="004415B7" w:rsidR="00107566" w:rsidP="00107566" w:rsidRDefault="00107566" w14:paraId="43A6367A" w14:textId="6CBCF2AF">
      <w:pPr>
        <w:pStyle w:val="ListParagraph"/>
        <w:ind w:left="360"/>
        <w:rPr>
          <w:color w:val="auto"/>
          <w:sz w:val="16"/>
          <w:szCs w:val="16"/>
        </w:rPr>
      </w:pPr>
      <w:r w:rsidRPr="004415B7">
        <w:rPr>
          <w:color w:val="auto"/>
          <w:sz w:val="16"/>
          <w:szCs w:val="16"/>
        </w:rPr>
        <w:t>Fig.3</w:t>
      </w:r>
    </w:p>
    <w:p w:rsidRPr="004415B7" w:rsidR="00B70874" w:rsidP="00C66425" w:rsidRDefault="00107566" w14:paraId="08623D65" w14:textId="3F9D1B53">
      <w:pPr>
        <w:pStyle w:val="ListParagraph"/>
        <w:numPr>
          <w:ilvl w:val="0"/>
          <w:numId w:val="5"/>
        </w:numPr>
        <w:tabs>
          <w:tab w:val="clear" w:pos="426"/>
        </w:tabs>
        <w:ind w:left="851" w:hanging="567"/>
        <w:rPr>
          <w:color w:val="auto"/>
        </w:rPr>
      </w:pPr>
      <w:r w:rsidRPr="004415B7">
        <w:rPr>
          <w:color w:val="auto"/>
        </w:rPr>
        <w:t>The</w:t>
      </w:r>
      <w:r w:rsidRPr="004415B7" w:rsidR="00D73BF6">
        <w:rPr>
          <w:color w:val="auto"/>
        </w:rPr>
        <w:t>re is minimal movement o</w:t>
      </w:r>
      <w:r w:rsidRPr="004415B7">
        <w:rPr>
          <w:color w:val="auto"/>
        </w:rPr>
        <w:t xml:space="preserve">n the HRA capital programme between the </w:t>
      </w:r>
      <w:r w:rsidR="002910E0">
        <w:rPr>
          <w:color w:val="auto"/>
        </w:rPr>
        <w:t>l</w:t>
      </w:r>
      <w:r w:rsidRPr="004415B7" w:rsidR="00F02AE0">
        <w:rPr>
          <w:color w:val="auto"/>
        </w:rPr>
        <w:t>atest</w:t>
      </w:r>
      <w:r w:rsidRPr="004415B7">
        <w:rPr>
          <w:color w:val="auto"/>
        </w:rPr>
        <w:t xml:space="preserve"> </w:t>
      </w:r>
      <w:r w:rsidR="002910E0">
        <w:rPr>
          <w:color w:val="auto"/>
        </w:rPr>
        <w:t>b</w:t>
      </w:r>
      <w:r w:rsidRPr="004415B7">
        <w:rPr>
          <w:color w:val="auto"/>
        </w:rPr>
        <w:t xml:space="preserve">udget and the </w:t>
      </w:r>
      <w:r w:rsidR="002910E0">
        <w:rPr>
          <w:color w:val="auto"/>
        </w:rPr>
        <w:t>f</w:t>
      </w:r>
      <w:r w:rsidRPr="004415B7">
        <w:rPr>
          <w:color w:val="auto"/>
        </w:rPr>
        <w:t xml:space="preserve">orecast for </w:t>
      </w:r>
      <w:r w:rsidRPr="004415B7" w:rsidR="009A32CA">
        <w:rPr>
          <w:color w:val="auto"/>
        </w:rPr>
        <w:t>20</w:t>
      </w:r>
      <w:r w:rsidRPr="004415B7">
        <w:rPr>
          <w:color w:val="auto"/>
        </w:rPr>
        <w:t>2</w:t>
      </w:r>
      <w:r w:rsidRPr="004415B7" w:rsidR="00F02AE0">
        <w:rPr>
          <w:color w:val="auto"/>
        </w:rPr>
        <w:t>5</w:t>
      </w:r>
      <w:r w:rsidRPr="004415B7">
        <w:rPr>
          <w:color w:val="auto"/>
        </w:rPr>
        <w:t>/2</w:t>
      </w:r>
      <w:r w:rsidRPr="004415B7" w:rsidR="00F02AE0">
        <w:rPr>
          <w:color w:val="auto"/>
        </w:rPr>
        <w:t>6</w:t>
      </w:r>
      <w:r w:rsidRPr="004415B7">
        <w:rPr>
          <w:color w:val="auto"/>
        </w:rPr>
        <w:t xml:space="preserve">, as advised by project managers, </w:t>
      </w:r>
      <w:r w:rsidRPr="004415B7" w:rsidR="00B70874">
        <w:rPr>
          <w:color w:val="auto"/>
        </w:rPr>
        <w:t>and therefore there are no key variances to report.</w:t>
      </w:r>
    </w:p>
    <w:p w:rsidR="001F635F" w:rsidP="14BF4969" w:rsidRDefault="001F635F" w14:paraId="150C6569" w14:textId="77777777">
      <w:pPr>
        <w:rPr>
          <w:b/>
          <w:bCs/>
          <w:color w:val="auto"/>
        </w:rPr>
      </w:pPr>
      <w:bookmarkStart w:name="_Hlk157160223" w:id="2"/>
    </w:p>
    <w:p w:rsidRPr="004415B7" w:rsidR="00253E33" w:rsidP="14BF4969" w:rsidRDefault="32B74AB0" w14:paraId="1169F6B3" w14:textId="0626AECB">
      <w:pPr>
        <w:rPr>
          <w:b/>
          <w:bCs/>
          <w:color w:val="auto"/>
        </w:rPr>
      </w:pPr>
      <w:r w:rsidRPr="004415B7">
        <w:rPr>
          <w:b/>
          <w:bCs/>
          <w:color w:val="auto"/>
        </w:rPr>
        <w:t>Corporate Risk</w:t>
      </w:r>
      <w:r w:rsidRPr="004415B7" w:rsidR="22173B8E">
        <w:rPr>
          <w:b/>
          <w:bCs/>
          <w:color w:val="auto"/>
        </w:rPr>
        <w:t xml:space="preserve"> </w:t>
      </w:r>
    </w:p>
    <w:p w:rsidRPr="004415B7" w:rsidR="004F1B2E" w:rsidP="00B37A6D" w:rsidRDefault="004F1B2E" w14:paraId="02066B5C" w14:textId="5684D835">
      <w:pPr>
        <w:pStyle w:val="ListParagraph"/>
        <w:numPr>
          <w:ilvl w:val="0"/>
          <w:numId w:val="5"/>
        </w:numPr>
        <w:tabs>
          <w:tab w:val="clear" w:pos="426"/>
        </w:tabs>
        <w:ind w:left="851" w:hanging="567"/>
        <w:rPr>
          <w:color w:val="auto"/>
        </w:rPr>
      </w:pPr>
      <w:r w:rsidRPr="004415B7">
        <w:rPr>
          <w:color w:val="auto"/>
        </w:rPr>
        <w:t>The Council employs a ‘five-by-five’ risk scoring matrix, assessing risks based on probability and impact. Corporate risks are reviewed by the Corporate Leadership Team quarterly</w:t>
      </w:r>
      <w:r w:rsidRPr="004415B7" w:rsidR="005478FC">
        <w:rPr>
          <w:color w:val="auto"/>
        </w:rPr>
        <w:t>, most recently on 18 September 2025</w:t>
      </w:r>
      <w:r w:rsidRPr="004415B7">
        <w:rPr>
          <w:color w:val="auto"/>
        </w:rPr>
        <w:t>. Service level risks are reviewed periodically by Directors and Service Managers</w:t>
      </w:r>
      <w:r w:rsidRPr="004415B7" w:rsidR="007A552A">
        <w:rPr>
          <w:color w:val="auto"/>
        </w:rPr>
        <w:t xml:space="preserve"> and the Risk Management Group maintains oversight of all service risks</w:t>
      </w:r>
      <w:r w:rsidRPr="004415B7" w:rsidR="00C23A15">
        <w:rPr>
          <w:color w:val="auto"/>
        </w:rPr>
        <w:t xml:space="preserve"> and, during its meetings, assesses whether any risks should be escalated for inclusion in the Corporate Risk Register (CRR)</w:t>
      </w:r>
      <w:r w:rsidRPr="004415B7">
        <w:rPr>
          <w:color w:val="auto"/>
        </w:rPr>
        <w:t>.</w:t>
      </w:r>
    </w:p>
    <w:p w:rsidR="006E1ADB" w:rsidP="00B37A6D" w:rsidRDefault="006E1ADB" w14:paraId="4BBFA8AD" w14:textId="0953B08E">
      <w:pPr>
        <w:pStyle w:val="ListParagraph"/>
        <w:numPr>
          <w:ilvl w:val="0"/>
          <w:numId w:val="5"/>
        </w:numPr>
        <w:tabs>
          <w:tab w:val="clear" w:pos="426"/>
        </w:tabs>
        <w:ind w:left="851" w:hanging="567"/>
        <w:rPr>
          <w:color w:val="auto"/>
        </w:rPr>
      </w:pPr>
      <w:r w:rsidRPr="004415B7">
        <w:rPr>
          <w:color w:val="auto"/>
        </w:rPr>
        <w:t xml:space="preserve">The table below shows the number of corporate risks on </w:t>
      </w:r>
      <w:r w:rsidRPr="004415B7" w:rsidR="004F1B2E">
        <w:rPr>
          <w:color w:val="auto"/>
        </w:rPr>
        <w:t xml:space="preserve">30 </w:t>
      </w:r>
      <w:r w:rsidRPr="004415B7" w:rsidR="0026016A">
        <w:rPr>
          <w:color w:val="auto"/>
        </w:rPr>
        <w:t>September</w:t>
      </w:r>
      <w:r w:rsidRPr="004415B7">
        <w:rPr>
          <w:color w:val="auto"/>
        </w:rPr>
        <w:t xml:space="preserve"> 202</w:t>
      </w:r>
      <w:r w:rsidRPr="004415B7" w:rsidR="004F1B2E">
        <w:rPr>
          <w:color w:val="auto"/>
        </w:rPr>
        <w:t>5</w:t>
      </w:r>
      <w:r w:rsidRPr="004415B7">
        <w:rPr>
          <w:color w:val="auto"/>
        </w:rPr>
        <w:t xml:space="preserve">, categorised by level Red, Amber and Green, and the comparative number </w:t>
      </w:r>
      <w:r w:rsidRPr="004415B7" w:rsidR="004F1B2E">
        <w:rPr>
          <w:color w:val="auto"/>
        </w:rPr>
        <w:t>for the previous reported quarter</w:t>
      </w:r>
      <w:r w:rsidRPr="004415B7" w:rsidR="00FC71D8">
        <w:rPr>
          <w:color w:val="auto"/>
        </w:rPr>
        <w:t>.</w:t>
      </w:r>
    </w:p>
    <w:p w:rsidR="001F635F" w:rsidP="001F635F" w:rsidRDefault="001F635F" w14:paraId="74FF6936" w14:textId="77777777">
      <w:pPr>
        <w:ind w:left="284"/>
        <w:rPr>
          <w:color w:val="auto"/>
        </w:rPr>
      </w:pPr>
    </w:p>
    <w:p w:rsidR="001F635F" w:rsidP="001F635F" w:rsidRDefault="001F635F" w14:paraId="0B4542B0" w14:textId="77777777">
      <w:pPr>
        <w:ind w:left="284"/>
        <w:rPr>
          <w:color w:val="auto"/>
        </w:rPr>
      </w:pPr>
    </w:p>
    <w:p w:rsidR="001F635F" w:rsidP="001F635F" w:rsidRDefault="001F635F" w14:paraId="49F95887" w14:textId="77777777">
      <w:pPr>
        <w:ind w:left="284"/>
        <w:rPr>
          <w:color w:val="auto"/>
        </w:rPr>
      </w:pPr>
    </w:p>
    <w:p w:rsidRPr="001F635F" w:rsidR="001F635F" w:rsidP="001F635F" w:rsidRDefault="001F635F" w14:paraId="52935165" w14:textId="77777777">
      <w:pPr>
        <w:ind w:left="284"/>
        <w:rPr>
          <w:color w:val="auto"/>
        </w:rPr>
      </w:pPr>
    </w:p>
    <w:tbl>
      <w:tblPr>
        <w:tblW w:w="5369" w:type="dxa"/>
        <w:tblInd w:w="8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89"/>
        <w:gridCol w:w="1395"/>
        <w:gridCol w:w="1285"/>
      </w:tblGrid>
      <w:tr w:rsidRPr="004415B7" w:rsidR="004F1B2E" w:rsidTr="00AE4038" w14:paraId="017B30CA" w14:textId="0A8A71DD">
        <w:trPr>
          <w:trHeight w:val="300"/>
        </w:trPr>
        <w:tc>
          <w:tcPr>
            <w:tcW w:w="2689" w:type="dxa"/>
            <w:vMerge w:val="restart"/>
            <w:noWrap/>
            <w:vAlign w:val="center"/>
            <w:hideMark/>
          </w:tcPr>
          <w:p w:rsidRPr="004415B7" w:rsidR="004F1B2E" w:rsidRDefault="004F1B2E" w14:paraId="09A58D4E" w14:textId="77777777">
            <w:pPr>
              <w:spacing w:after="0"/>
              <w:ind w:right="81"/>
              <w:jc w:val="center"/>
              <w:rPr>
                <w:rFonts w:cs="Arial"/>
                <w:b/>
                <w:bCs/>
              </w:rPr>
            </w:pPr>
            <w:r w:rsidRPr="004415B7">
              <w:rPr>
                <w:rFonts w:cs="Arial"/>
                <w:b/>
                <w:bCs/>
              </w:rPr>
              <w:lastRenderedPageBreak/>
              <w:t>Current Risk</w:t>
            </w:r>
          </w:p>
        </w:tc>
        <w:tc>
          <w:tcPr>
            <w:tcW w:w="1395" w:type="dxa"/>
            <w:vAlign w:val="center"/>
            <w:hideMark/>
          </w:tcPr>
          <w:p w:rsidRPr="004415B7" w:rsidR="004F1B2E" w:rsidRDefault="004F1B2E" w14:paraId="2F2A91E0" w14:textId="3301F745">
            <w:pPr>
              <w:spacing w:after="0"/>
              <w:ind w:right="81"/>
              <w:jc w:val="center"/>
              <w:rPr>
                <w:rFonts w:cs="Arial"/>
                <w:b/>
                <w:bCs/>
              </w:rPr>
            </w:pPr>
            <w:r w:rsidRPr="004415B7">
              <w:rPr>
                <w:rFonts w:cs="Arial"/>
                <w:b/>
                <w:bCs/>
              </w:rPr>
              <w:t>Q</w:t>
            </w:r>
            <w:r w:rsidRPr="004415B7" w:rsidR="00DC6586">
              <w:rPr>
                <w:rFonts w:cs="Arial"/>
                <w:b/>
                <w:bCs/>
              </w:rPr>
              <w:t>1</w:t>
            </w:r>
          </w:p>
        </w:tc>
        <w:tc>
          <w:tcPr>
            <w:tcW w:w="1285" w:type="dxa"/>
            <w:vAlign w:val="center"/>
            <w:hideMark/>
          </w:tcPr>
          <w:p w:rsidRPr="004415B7" w:rsidR="004F1B2E" w:rsidRDefault="004F1B2E" w14:paraId="7F16D825" w14:textId="3899EEB4">
            <w:pPr>
              <w:spacing w:after="0"/>
              <w:ind w:right="81"/>
              <w:jc w:val="center"/>
              <w:rPr>
                <w:rFonts w:cs="Arial"/>
                <w:b/>
                <w:bCs/>
              </w:rPr>
            </w:pPr>
            <w:r w:rsidRPr="004415B7">
              <w:rPr>
                <w:rFonts w:cs="Arial"/>
                <w:b/>
                <w:bCs/>
              </w:rPr>
              <w:t>Q</w:t>
            </w:r>
            <w:r w:rsidRPr="004415B7" w:rsidR="00DC6586">
              <w:rPr>
                <w:rFonts w:cs="Arial"/>
                <w:b/>
                <w:bCs/>
              </w:rPr>
              <w:t>2</w:t>
            </w:r>
          </w:p>
        </w:tc>
      </w:tr>
      <w:tr w:rsidRPr="004415B7" w:rsidR="004F1B2E" w:rsidTr="00AE4038" w14:paraId="0D8C58FE" w14:textId="10BB8A1F">
        <w:trPr>
          <w:trHeight w:val="300"/>
        </w:trPr>
        <w:tc>
          <w:tcPr>
            <w:tcW w:w="2689" w:type="dxa"/>
            <w:vMerge/>
            <w:vAlign w:val="center"/>
            <w:hideMark/>
          </w:tcPr>
          <w:p w:rsidRPr="004415B7" w:rsidR="004F1B2E" w:rsidRDefault="004F1B2E" w14:paraId="6E0B78F7" w14:textId="77777777">
            <w:pPr>
              <w:spacing w:after="0"/>
              <w:ind w:right="81"/>
              <w:rPr>
                <w:rFonts w:cs="Arial"/>
                <w:b/>
                <w:bCs/>
              </w:rPr>
            </w:pPr>
          </w:p>
        </w:tc>
        <w:tc>
          <w:tcPr>
            <w:tcW w:w="1395" w:type="dxa"/>
            <w:vAlign w:val="center"/>
            <w:hideMark/>
          </w:tcPr>
          <w:p w:rsidRPr="004415B7" w:rsidR="004F1B2E" w:rsidRDefault="004F1B2E" w14:paraId="492C95CA" w14:textId="6FEF0EF9">
            <w:pPr>
              <w:spacing w:after="0"/>
              <w:ind w:right="81"/>
              <w:jc w:val="center"/>
              <w:rPr>
                <w:rFonts w:cs="Arial"/>
                <w:b/>
                <w:bCs/>
              </w:rPr>
            </w:pPr>
            <w:r w:rsidRPr="004415B7">
              <w:rPr>
                <w:rFonts w:cs="Arial"/>
                <w:b/>
                <w:bCs/>
              </w:rPr>
              <w:t>202</w:t>
            </w:r>
            <w:r w:rsidRPr="004415B7" w:rsidR="00DC6586">
              <w:rPr>
                <w:rFonts w:cs="Arial"/>
                <w:b/>
                <w:bCs/>
              </w:rPr>
              <w:t>5</w:t>
            </w:r>
            <w:r w:rsidRPr="004415B7">
              <w:rPr>
                <w:rFonts w:cs="Arial"/>
                <w:b/>
                <w:bCs/>
              </w:rPr>
              <w:t>/2</w:t>
            </w:r>
            <w:r w:rsidRPr="004415B7" w:rsidR="00DC6586">
              <w:rPr>
                <w:rFonts w:cs="Arial"/>
                <w:b/>
                <w:bCs/>
              </w:rPr>
              <w:t>6</w:t>
            </w:r>
          </w:p>
        </w:tc>
        <w:tc>
          <w:tcPr>
            <w:tcW w:w="1285" w:type="dxa"/>
            <w:vAlign w:val="center"/>
            <w:hideMark/>
          </w:tcPr>
          <w:p w:rsidRPr="004415B7" w:rsidR="004F1B2E" w:rsidRDefault="004F1B2E" w14:paraId="6A7B0F72" w14:textId="58FE5B71">
            <w:pPr>
              <w:spacing w:after="0"/>
              <w:ind w:right="81"/>
              <w:jc w:val="center"/>
              <w:rPr>
                <w:rFonts w:cs="Arial"/>
                <w:b/>
                <w:bCs/>
              </w:rPr>
            </w:pPr>
            <w:r w:rsidRPr="004415B7">
              <w:rPr>
                <w:rFonts w:cs="Arial"/>
                <w:b/>
                <w:bCs/>
              </w:rPr>
              <w:t>2025/26</w:t>
            </w:r>
          </w:p>
        </w:tc>
      </w:tr>
      <w:tr w:rsidRPr="004415B7" w:rsidR="004F1B2E" w:rsidTr="00AE4038" w14:paraId="3CC3D1F1" w14:textId="1322E544">
        <w:trPr>
          <w:trHeight w:val="300"/>
        </w:trPr>
        <w:tc>
          <w:tcPr>
            <w:tcW w:w="2689" w:type="dxa"/>
            <w:noWrap/>
            <w:vAlign w:val="center"/>
            <w:hideMark/>
          </w:tcPr>
          <w:p w:rsidRPr="004415B7" w:rsidR="004F1B2E" w:rsidRDefault="004F1B2E" w14:paraId="5C3ECD22" w14:textId="77777777">
            <w:pPr>
              <w:spacing w:after="0"/>
              <w:ind w:right="81"/>
              <w:rPr>
                <w:rFonts w:cs="Arial"/>
              </w:rPr>
            </w:pPr>
            <w:r w:rsidRPr="004415B7">
              <w:rPr>
                <w:rFonts w:cs="Arial"/>
              </w:rPr>
              <w:t>Red</w:t>
            </w:r>
          </w:p>
        </w:tc>
        <w:tc>
          <w:tcPr>
            <w:tcW w:w="1395" w:type="dxa"/>
            <w:vAlign w:val="center"/>
          </w:tcPr>
          <w:p w:rsidRPr="004415B7" w:rsidR="004F1B2E" w:rsidRDefault="00DC6586" w14:paraId="7050686A" w14:textId="43B49167">
            <w:pPr>
              <w:spacing w:after="0"/>
              <w:ind w:right="81"/>
              <w:jc w:val="center"/>
              <w:rPr>
                <w:rFonts w:cs="Arial"/>
              </w:rPr>
            </w:pPr>
            <w:r w:rsidRPr="004415B7">
              <w:rPr>
                <w:rFonts w:cs="Arial"/>
              </w:rPr>
              <w:t>6</w:t>
            </w:r>
          </w:p>
        </w:tc>
        <w:tc>
          <w:tcPr>
            <w:tcW w:w="1285" w:type="dxa"/>
            <w:vAlign w:val="center"/>
          </w:tcPr>
          <w:p w:rsidRPr="004415B7" w:rsidR="004F1B2E" w:rsidRDefault="004F1B2E" w14:paraId="627D9577" w14:textId="7E1AF52A">
            <w:pPr>
              <w:spacing w:after="0"/>
              <w:ind w:right="81"/>
              <w:jc w:val="center"/>
              <w:rPr>
                <w:rFonts w:cs="Arial"/>
              </w:rPr>
            </w:pPr>
            <w:r w:rsidRPr="004415B7">
              <w:rPr>
                <w:rFonts w:cs="Arial"/>
              </w:rPr>
              <w:t>6</w:t>
            </w:r>
          </w:p>
        </w:tc>
      </w:tr>
      <w:tr w:rsidRPr="004415B7" w:rsidR="004F1B2E" w:rsidTr="00AE4038" w14:paraId="5D67CD81" w14:textId="7B99A40E">
        <w:trPr>
          <w:trHeight w:val="300"/>
        </w:trPr>
        <w:tc>
          <w:tcPr>
            <w:tcW w:w="2689" w:type="dxa"/>
            <w:noWrap/>
            <w:vAlign w:val="center"/>
            <w:hideMark/>
          </w:tcPr>
          <w:p w:rsidRPr="004415B7" w:rsidR="004F1B2E" w:rsidRDefault="004F1B2E" w14:paraId="3F59D208" w14:textId="77777777">
            <w:pPr>
              <w:spacing w:after="0"/>
              <w:ind w:right="81"/>
              <w:rPr>
                <w:rFonts w:cs="Arial"/>
              </w:rPr>
            </w:pPr>
            <w:r w:rsidRPr="004415B7">
              <w:rPr>
                <w:rFonts w:cs="Arial"/>
              </w:rPr>
              <w:t>Amber</w:t>
            </w:r>
          </w:p>
        </w:tc>
        <w:tc>
          <w:tcPr>
            <w:tcW w:w="1395" w:type="dxa"/>
            <w:vAlign w:val="center"/>
          </w:tcPr>
          <w:p w:rsidRPr="004415B7" w:rsidR="004F1B2E" w:rsidRDefault="00DC6586" w14:paraId="73DB61AF" w14:textId="4FC95F58">
            <w:pPr>
              <w:spacing w:after="0"/>
              <w:ind w:right="81"/>
              <w:jc w:val="center"/>
              <w:rPr>
                <w:rFonts w:cs="Arial"/>
              </w:rPr>
            </w:pPr>
            <w:r w:rsidRPr="004415B7">
              <w:rPr>
                <w:rFonts w:cs="Arial"/>
              </w:rPr>
              <w:t>8</w:t>
            </w:r>
          </w:p>
        </w:tc>
        <w:tc>
          <w:tcPr>
            <w:tcW w:w="1285" w:type="dxa"/>
            <w:vAlign w:val="center"/>
          </w:tcPr>
          <w:p w:rsidRPr="004415B7" w:rsidR="004F1B2E" w:rsidRDefault="004F1B2E" w14:paraId="13C00FE1" w14:textId="3DFC1763">
            <w:pPr>
              <w:spacing w:after="0"/>
              <w:ind w:right="81"/>
              <w:jc w:val="center"/>
              <w:rPr>
                <w:rFonts w:cs="Arial"/>
              </w:rPr>
            </w:pPr>
            <w:r w:rsidRPr="004415B7">
              <w:rPr>
                <w:rFonts w:cs="Arial"/>
              </w:rPr>
              <w:t>8</w:t>
            </w:r>
          </w:p>
        </w:tc>
      </w:tr>
      <w:tr w:rsidRPr="004415B7" w:rsidR="004F1B2E" w:rsidTr="00AE4038" w14:paraId="7DEE3F46" w14:textId="0036E1B5">
        <w:trPr>
          <w:trHeight w:val="300"/>
        </w:trPr>
        <w:tc>
          <w:tcPr>
            <w:tcW w:w="2689" w:type="dxa"/>
            <w:noWrap/>
            <w:vAlign w:val="center"/>
            <w:hideMark/>
          </w:tcPr>
          <w:p w:rsidRPr="004415B7" w:rsidR="004F1B2E" w:rsidRDefault="004F1B2E" w14:paraId="7243B02B" w14:textId="77777777">
            <w:pPr>
              <w:spacing w:after="0"/>
              <w:ind w:right="81"/>
              <w:rPr>
                <w:rFonts w:cs="Arial"/>
              </w:rPr>
            </w:pPr>
            <w:r w:rsidRPr="004415B7">
              <w:rPr>
                <w:rFonts w:cs="Arial"/>
              </w:rPr>
              <w:t>Green</w:t>
            </w:r>
          </w:p>
        </w:tc>
        <w:tc>
          <w:tcPr>
            <w:tcW w:w="1395" w:type="dxa"/>
            <w:vAlign w:val="center"/>
          </w:tcPr>
          <w:p w:rsidRPr="004415B7" w:rsidR="004F1B2E" w:rsidRDefault="004F1B2E" w14:paraId="29CA4773" w14:textId="77777777">
            <w:pPr>
              <w:spacing w:after="0"/>
              <w:ind w:right="81"/>
              <w:jc w:val="center"/>
              <w:rPr>
                <w:rFonts w:cs="Arial"/>
              </w:rPr>
            </w:pPr>
            <w:r w:rsidRPr="004415B7">
              <w:rPr>
                <w:rFonts w:cs="Arial"/>
              </w:rPr>
              <w:t>0</w:t>
            </w:r>
          </w:p>
        </w:tc>
        <w:tc>
          <w:tcPr>
            <w:tcW w:w="1285" w:type="dxa"/>
            <w:vAlign w:val="center"/>
          </w:tcPr>
          <w:p w:rsidRPr="004415B7" w:rsidR="004F1B2E" w:rsidRDefault="004F1B2E" w14:paraId="0A9268E7" w14:textId="77777777">
            <w:pPr>
              <w:spacing w:after="0"/>
              <w:ind w:right="81"/>
              <w:jc w:val="center"/>
              <w:rPr>
                <w:rFonts w:cs="Arial"/>
              </w:rPr>
            </w:pPr>
            <w:r w:rsidRPr="004415B7">
              <w:rPr>
                <w:rFonts w:cs="Arial"/>
              </w:rPr>
              <w:t>0</w:t>
            </w:r>
          </w:p>
        </w:tc>
      </w:tr>
      <w:tr w:rsidRPr="004415B7" w:rsidR="004F1B2E" w:rsidTr="00AE4038" w14:paraId="49AAF510" w14:textId="6EFC25A6">
        <w:trPr>
          <w:trHeight w:val="300"/>
        </w:trPr>
        <w:tc>
          <w:tcPr>
            <w:tcW w:w="2689" w:type="dxa"/>
            <w:shd w:val="clear" w:color="auto" w:fill="D9D9D9" w:themeFill="background1" w:themeFillShade="D9"/>
            <w:noWrap/>
            <w:vAlign w:val="center"/>
            <w:hideMark/>
          </w:tcPr>
          <w:p w:rsidRPr="004415B7" w:rsidR="004F1B2E" w:rsidRDefault="004F1B2E" w14:paraId="37FE51A6" w14:textId="77777777">
            <w:pPr>
              <w:spacing w:after="0"/>
              <w:ind w:right="81"/>
              <w:rPr>
                <w:rFonts w:cs="Arial"/>
                <w:b/>
                <w:bCs/>
              </w:rPr>
            </w:pPr>
            <w:r w:rsidRPr="004415B7">
              <w:rPr>
                <w:rFonts w:cs="Arial"/>
                <w:b/>
                <w:bCs/>
              </w:rPr>
              <w:t>Total risks</w:t>
            </w:r>
          </w:p>
        </w:tc>
        <w:tc>
          <w:tcPr>
            <w:tcW w:w="1395" w:type="dxa"/>
            <w:shd w:val="clear" w:color="auto" w:fill="D9D9D9" w:themeFill="background1" w:themeFillShade="D9"/>
            <w:vAlign w:val="center"/>
          </w:tcPr>
          <w:p w:rsidRPr="004415B7" w:rsidR="004F1B2E" w:rsidRDefault="004F1B2E" w14:paraId="328F1277" w14:textId="3F78796F">
            <w:pPr>
              <w:spacing w:after="0"/>
              <w:ind w:right="81"/>
              <w:jc w:val="center"/>
              <w:rPr>
                <w:rFonts w:cs="Arial"/>
                <w:b/>
                <w:bCs/>
              </w:rPr>
            </w:pPr>
            <w:r w:rsidRPr="004415B7">
              <w:rPr>
                <w:rFonts w:cs="Arial"/>
                <w:b/>
                <w:bCs/>
              </w:rPr>
              <w:t>1</w:t>
            </w:r>
            <w:r w:rsidRPr="004415B7" w:rsidR="00DC6586">
              <w:rPr>
                <w:rFonts w:cs="Arial"/>
                <w:b/>
                <w:bCs/>
              </w:rPr>
              <w:t>4</w:t>
            </w:r>
          </w:p>
        </w:tc>
        <w:tc>
          <w:tcPr>
            <w:tcW w:w="1285" w:type="dxa"/>
            <w:shd w:val="clear" w:color="auto" w:fill="D9D9D9" w:themeFill="background1" w:themeFillShade="D9"/>
            <w:vAlign w:val="center"/>
          </w:tcPr>
          <w:p w:rsidRPr="004415B7" w:rsidR="004F1B2E" w:rsidRDefault="004F1B2E" w14:paraId="41D1701A" w14:textId="385A3D44">
            <w:pPr>
              <w:spacing w:after="0"/>
              <w:ind w:right="81"/>
              <w:jc w:val="center"/>
              <w:rPr>
                <w:rFonts w:cs="Arial"/>
                <w:b/>
                <w:bCs/>
              </w:rPr>
            </w:pPr>
            <w:r w:rsidRPr="004415B7">
              <w:rPr>
                <w:rFonts w:cs="Arial"/>
                <w:b/>
                <w:bCs/>
              </w:rPr>
              <w:t>14</w:t>
            </w:r>
          </w:p>
        </w:tc>
      </w:tr>
      <w:tr w:rsidRPr="004415B7" w:rsidR="004F1B2E" w:rsidTr="00AE4038" w14:paraId="691E8251" w14:textId="7C2DA840">
        <w:trPr>
          <w:trHeight w:val="300"/>
        </w:trPr>
        <w:tc>
          <w:tcPr>
            <w:tcW w:w="2689" w:type="dxa"/>
            <w:noWrap/>
            <w:vAlign w:val="center"/>
            <w:hideMark/>
          </w:tcPr>
          <w:p w:rsidRPr="004415B7" w:rsidR="004F1B2E" w:rsidRDefault="004F1B2E" w14:paraId="3E883C15" w14:textId="52D81D18">
            <w:pPr>
              <w:spacing w:after="0"/>
              <w:ind w:right="81"/>
              <w:rPr>
                <w:rFonts w:cs="Arial"/>
              </w:rPr>
            </w:pPr>
            <w:r w:rsidRPr="004415B7">
              <w:rPr>
                <w:rFonts w:cs="Arial"/>
              </w:rPr>
              <w:t>New risks in half year</w:t>
            </w:r>
          </w:p>
        </w:tc>
        <w:tc>
          <w:tcPr>
            <w:tcW w:w="1395" w:type="dxa"/>
            <w:vAlign w:val="center"/>
          </w:tcPr>
          <w:p w:rsidRPr="004415B7" w:rsidR="004F1B2E" w:rsidRDefault="004F1B2E" w14:paraId="0B75C03B" w14:textId="0BD766BE">
            <w:pPr>
              <w:spacing w:after="0"/>
              <w:ind w:right="81"/>
              <w:jc w:val="center"/>
              <w:rPr>
                <w:rFonts w:cs="Arial"/>
              </w:rPr>
            </w:pPr>
            <w:r w:rsidRPr="004415B7">
              <w:rPr>
                <w:rFonts w:cs="Arial"/>
              </w:rPr>
              <w:t>1</w:t>
            </w:r>
            <w:r w:rsidRPr="004415B7" w:rsidR="00DC6586">
              <w:rPr>
                <w:rFonts w:cs="Arial"/>
              </w:rPr>
              <w:t>0</w:t>
            </w:r>
          </w:p>
        </w:tc>
        <w:tc>
          <w:tcPr>
            <w:tcW w:w="1285" w:type="dxa"/>
            <w:vAlign w:val="center"/>
          </w:tcPr>
          <w:p w:rsidRPr="004415B7" w:rsidR="004F1B2E" w:rsidRDefault="00380691" w14:paraId="55CEDA7E" w14:textId="1B7C6097">
            <w:pPr>
              <w:spacing w:after="0"/>
              <w:ind w:right="81"/>
              <w:jc w:val="center"/>
              <w:rPr>
                <w:rFonts w:cs="Arial"/>
              </w:rPr>
            </w:pPr>
            <w:r w:rsidRPr="004415B7">
              <w:rPr>
                <w:rFonts w:cs="Arial"/>
              </w:rPr>
              <w:t>0</w:t>
            </w:r>
          </w:p>
        </w:tc>
      </w:tr>
      <w:tr w:rsidRPr="004415B7" w:rsidR="004F1B2E" w:rsidTr="00AE4038" w14:paraId="47A6C30A" w14:textId="591C9CC8">
        <w:trPr>
          <w:trHeight w:val="300"/>
        </w:trPr>
        <w:tc>
          <w:tcPr>
            <w:tcW w:w="2689" w:type="dxa"/>
            <w:noWrap/>
            <w:vAlign w:val="center"/>
            <w:hideMark/>
          </w:tcPr>
          <w:p w:rsidRPr="004415B7" w:rsidR="004F1B2E" w:rsidRDefault="004F1B2E" w14:paraId="527A3F35" w14:textId="77777777">
            <w:pPr>
              <w:spacing w:after="0"/>
              <w:ind w:right="81"/>
              <w:rPr>
                <w:rFonts w:cs="Arial"/>
              </w:rPr>
            </w:pPr>
            <w:r w:rsidRPr="004415B7">
              <w:rPr>
                <w:rFonts w:cs="Arial"/>
              </w:rPr>
              <w:t>Closed</w:t>
            </w:r>
          </w:p>
        </w:tc>
        <w:tc>
          <w:tcPr>
            <w:tcW w:w="1395" w:type="dxa"/>
            <w:vAlign w:val="center"/>
          </w:tcPr>
          <w:p w:rsidRPr="004415B7" w:rsidR="004F1B2E" w:rsidRDefault="00DC6586" w14:paraId="36D7AFAB" w14:textId="02D908DD">
            <w:pPr>
              <w:spacing w:after="0"/>
              <w:ind w:right="81"/>
              <w:jc w:val="center"/>
              <w:rPr>
                <w:rFonts w:cs="Arial"/>
              </w:rPr>
            </w:pPr>
            <w:r w:rsidRPr="004415B7">
              <w:rPr>
                <w:rFonts w:cs="Arial"/>
              </w:rPr>
              <w:t>8</w:t>
            </w:r>
          </w:p>
        </w:tc>
        <w:tc>
          <w:tcPr>
            <w:tcW w:w="1285" w:type="dxa"/>
            <w:vAlign w:val="center"/>
          </w:tcPr>
          <w:p w:rsidRPr="004415B7" w:rsidR="004F1B2E" w:rsidRDefault="00380691" w14:paraId="0862A56D" w14:textId="3F051A7F">
            <w:pPr>
              <w:spacing w:after="0"/>
              <w:ind w:right="81"/>
              <w:jc w:val="center"/>
              <w:rPr>
                <w:rFonts w:cs="Arial"/>
              </w:rPr>
            </w:pPr>
            <w:r w:rsidRPr="004415B7">
              <w:rPr>
                <w:rFonts w:cs="Arial"/>
              </w:rPr>
              <w:t>0</w:t>
            </w:r>
          </w:p>
        </w:tc>
      </w:tr>
    </w:tbl>
    <w:p w:rsidRPr="004415B7" w:rsidR="006E1ADB" w:rsidP="004F3CB9" w:rsidRDefault="006E1ADB" w14:paraId="4E0F7731" w14:textId="77777777">
      <w:pPr>
        <w:rPr>
          <w:color w:val="auto"/>
        </w:rPr>
      </w:pPr>
    </w:p>
    <w:p w:rsidRPr="004415B7" w:rsidR="00C041B6" w:rsidP="00C66425" w:rsidRDefault="004F3CB9" w14:paraId="7233CD17" w14:textId="59BAFB32">
      <w:pPr>
        <w:ind w:left="851"/>
        <w:rPr>
          <w:color w:val="auto"/>
        </w:rPr>
      </w:pPr>
      <w:bookmarkStart w:name="_Hlk189215773" w:id="3"/>
      <w:r w:rsidRPr="004415B7">
        <w:rPr>
          <w:color w:val="auto"/>
        </w:rPr>
        <w:t xml:space="preserve">At </w:t>
      </w:r>
      <w:r w:rsidRPr="004415B7" w:rsidR="003722DB">
        <w:rPr>
          <w:color w:val="auto"/>
        </w:rPr>
        <w:t>2</w:t>
      </w:r>
      <w:r w:rsidRPr="004415B7">
        <w:rPr>
          <w:color w:val="auto"/>
        </w:rPr>
        <w:t xml:space="preserve">Q </w:t>
      </w:r>
      <w:r w:rsidRPr="004415B7" w:rsidR="009A32CA">
        <w:rPr>
          <w:color w:val="auto"/>
        </w:rPr>
        <w:t>20</w:t>
      </w:r>
      <w:r w:rsidRPr="004415B7">
        <w:rPr>
          <w:color w:val="auto"/>
        </w:rPr>
        <w:t>2</w:t>
      </w:r>
      <w:r w:rsidRPr="004415B7" w:rsidR="004F1B2E">
        <w:rPr>
          <w:color w:val="auto"/>
        </w:rPr>
        <w:t>5</w:t>
      </w:r>
      <w:r w:rsidRPr="004415B7">
        <w:rPr>
          <w:color w:val="auto"/>
        </w:rPr>
        <w:t>/2</w:t>
      </w:r>
      <w:r w:rsidRPr="004415B7" w:rsidR="004F1B2E">
        <w:rPr>
          <w:color w:val="auto"/>
        </w:rPr>
        <w:t>6</w:t>
      </w:r>
      <w:r w:rsidRPr="004415B7" w:rsidR="00DB0A50">
        <w:rPr>
          <w:color w:val="auto"/>
        </w:rPr>
        <w:t>,</w:t>
      </w:r>
      <w:r w:rsidRPr="004415B7" w:rsidR="00A51AFF">
        <w:rPr>
          <w:color w:val="auto"/>
        </w:rPr>
        <w:t xml:space="preserve"> in the latest update to the current </w:t>
      </w:r>
      <w:r w:rsidRPr="004415B7" w:rsidR="004F1B2E">
        <w:rPr>
          <w:color w:val="auto"/>
        </w:rPr>
        <w:t>CRR</w:t>
      </w:r>
      <w:r w:rsidRPr="004415B7" w:rsidR="00DB0A50">
        <w:rPr>
          <w:color w:val="auto"/>
        </w:rPr>
        <w:t>,</w:t>
      </w:r>
      <w:r w:rsidRPr="004415B7" w:rsidR="004F1B2E">
        <w:rPr>
          <w:color w:val="auto"/>
        </w:rPr>
        <w:t xml:space="preserve"> </w:t>
      </w:r>
      <w:r w:rsidRPr="004415B7" w:rsidR="000E1E09">
        <w:rPr>
          <w:color w:val="auto"/>
        </w:rPr>
        <w:t xml:space="preserve">whilst there </w:t>
      </w:r>
      <w:r w:rsidRPr="004415B7" w:rsidR="00977B0D">
        <w:rPr>
          <w:color w:val="auto"/>
        </w:rPr>
        <w:t>remain six red risks, eight amber risks, no new risk</w:t>
      </w:r>
      <w:r w:rsidRPr="004415B7" w:rsidR="00114286">
        <w:rPr>
          <w:color w:val="auto"/>
        </w:rPr>
        <w:t>s</w:t>
      </w:r>
      <w:r w:rsidRPr="004415B7" w:rsidR="00977B0D">
        <w:rPr>
          <w:color w:val="auto"/>
        </w:rPr>
        <w:t xml:space="preserve"> and no closed risks, there is a change in classification of two </w:t>
      </w:r>
      <w:r w:rsidRPr="004415B7" w:rsidR="00CE41F1">
        <w:rPr>
          <w:color w:val="auto"/>
        </w:rPr>
        <w:t xml:space="preserve">corporate </w:t>
      </w:r>
      <w:r w:rsidRPr="004415B7" w:rsidR="00977B0D">
        <w:rPr>
          <w:color w:val="auto"/>
        </w:rPr>
        <w:t>risks</w:t>
      </w:r>
      <w:r w:rsidRPr="004415B7" w:rsidR="00C041B6">
        <w:rPr>
          <w:color w:val="auto"/>
        </w:rPr>
        <w:t>:</w:t>
      </w:r>
    </w:p>
    <w:p w:rsidRPr="004415B7" w:rsidR="00654B3D" w:rsidP="00654B3D" w:rsidRDefault="00C041B6" w14:paraId="00659CD2" w14:textId="77777777">
      <w:pPr>
        <w:pStyle w:val="ListParagraph"/>
        <w:numPr>
          <w:ilvl w:val="0"/>
          <w:numId w:val="7"/>
        </w:numPr>
        <w:tabs>
          <w:tab w:val="clear" w:pos="426"/>
        </w:tabs>
        <w:ind w:left="1276" w:hanging="425"/>
      </w:pPr>
      <w:r w:rsidRPr="004415B7">
        <w:t xml:space="preserve">Flood </w:t>
      </w:r>
      <w:r w:rsidRPr="004415B7" w:rsidR="00450EEE">
        <w:t>–</w:t>
      </w:r>
      <w:r w:rsidRPr="004415B7">
        <w:t xml:space="preserve"> </w:t>
      </w:r>
      <w:r w:rsidRPr="004415B7" w:rsidR="00450EEE">
        <w:t>this risk has been reclassified from a red risk in 1Q to an amber risk in 2Q</w:t>
      </w:r>
    </w:p>
    <w:p w:rsidRPr="004415B7" w:rsidR="00654B3D" w:rsidP="00654B3D" w:rsidRDefault="00654B3D" w14:paraId="27EA7F22" w14:textId="37D8B433">
      <w:pPr>
        <w:pStyle w:val="ListParagraph"/>
        <w:numPr>
          <w:ilvl w:val="0"/>
          <w:numId w:val="7"/>
        </w:numPr>
        <w:tabs>
          <w:tab w:val="clear" w:pos="426"/>
        </w:tabs>
        <w:ind w:left="1276" w:hanging="425"/>
      </w:pPr>
      <w:r w:rsidRPr="004415B7">
        <w:t xml:space="preserve">A failure to meet Social Housing (Regulation) Act </w:t>
      </w:r>
      <w:r w:rsidR="002F0E93">
        <w:t xml:space="preserve">2023 </w:t>
      </w:r>
      <w:r w:rsidRPr="004415B7">
        <w:t>customer/consumer standards – this risk has been reclassified from an amber risk in 1Q to a red risk in 2Q</w:t>
      </w:r>
    </w:p>
    <w:bookmarkEnd w:id="3"/>
    <w:p w:rsidRPr="004415B7" w:rsidR="00FA10A6" w:rsidP="00C66425" w:rsidRDefault="000501D4" w14:paraId="2E38043C" w14:textId="523A0670">
      <w:pPr>
        <w:ind w:left="851"/>
        <w:rPr>
          <w:color w:val="auto"/>
        </w:rPr>
      </w:pPr>
      <w:r w:rsidRPr="004415B7">
        <w:rPr>
          <w:color w:val="auto"/>
        </w:rPr>
        <w:t xml:space="preserve">The </w:t>
      </w:r>
      <w:r w:rsidRPr="004415B7" w:rsidR="00E1215B">
        <w:rPr>
          <w:color w:val="auto"/>
        </w:rPr>
        <w:t xml:space="preserve">current </w:t>
      </w:r>
      <w:r w:rsidRPr="004415B7" w:rsidR="004F1B2E">
        <w:rPr>
          <w:color w:val="auto"/>
        </w:rPr>
        <w:t>six</w:t>
      </w:r>
      <w:r w:rsidRPr="004415B7">
        <w:rPr>
          <w:color w:val="auto"/>
        </w:rPr>
        <w:t xml:space="preserve"> red</w:t>
      </w:r>
      <w:r w:rsidRPr="004415B7" w:rsidR="00287E78">
        <w:rPr>
          <w:color w:val="auto"/>
        </w:rPr>
        <w:t xml:space="preserve"> risks </w:t>
      </w:r>
      <w:r w:rsidRPr="004415B7" w:rsidR="00952FBA">
        <w:rPr>
          <w:color w:val="auto"/>
        </w:rPr>
        <w:t>are</w:t>
      </w:r>
      <w:r w:rsidRPr="004415B7" w:rsidR="00FA10A6">
        <w:rPr>
          <w:color w:val="auto"/>
        </w:rPr>
        <w:t xml:space="preserve"> as follows:</w:t>
      </w:r>
    </w:p>
    <w:p w:rsidRPr="004415B7" w:rsidR="004061A5" w:rsidP="00B55494" w:rsidRDefault="00601A34" w14:paraId="5613888D" w14:textId="0A962316">
      <w:pPr>
        <w:pStyle w:val="Bulletpoints"/>
        <w:numPr>
          <w:ilvl w:val="1"/>
          <w:numId w:val="14"/>
        </w:numPr>
        <w:tabs>
          <w:tab w:val="clear" w:pos="993"/>
        </w:tabs>
      </w:pPr>
      <w:r w:rsidRPr="004415B7">
        <w:rPr>
          <w:b/>
          <w:bCs/>
        </w:rPr>
        <w:t xml:space="preserve">Financial </w:t>
      </w:r>
      <w:r w:rsidRPr="004415B7" w:rsidR="00003856">
        <w:rPr>
          <w:b/>
          <w:bCs/>
        </w:rPr>
        <w:t>s</w:t>
      </w:r>
      <w:r w:rsidRPr="004415B7">
        <w:rPr>
          <w:b/>
          <w:bCs/>
        </w:rPr>
        <w:t xml:space="preserve">tability </w:t>
      </w:r>
      <w:r w:rsidRPr="004415B7">
        <w:t xml:space="preserve">– </w:t>
      </w:r>
      <w:r w:rsidRPr="004415B7" w:rsidR="004061A5">
        <w:t xml:space="preserve">this risk concerns the Council’s </w:t>
      </w:r>
      <w:r w:rsidRPr="004415B7" w:rsidR="000E1CA4">
        <w:t>ability</w:t>
      </w:r>
      <w:r w:rsidRPr="004415B7" w:rsidR="004061A5">
        <w:t xml:space="preserve"> to </w:t>
      </w:r>
      <w:r w:rsidRPr="004415B7" w:rsidR="00281C55">
        <w:t>implement</w:t>
      </w:r>
      <w:r w:rsidRPr="004415B7" w:rsidR="004061A5">
        <w:t xml:space="preserve"> its strategic plans and corporate priorities </w:t>
      </w:r>
      <w:r w:rsidRPr="004415B7" w:rsidR="00281C55">
        <w:t>amid</w:t>
      </w:r>
      <w:r w:rsidRPr="004415B7" w:rsidR="004061A5">
        <w:t xml:space="preserve"> increasing financial pressure. </w:t>
      </w:r>
      <w:r w:rsidRPr="004415B7" w:rsidR="00281C55">
        <w:t>K</w:t>
      </w:r>
      <w:r w:rsidRPr="004415B7" w:rsidR="004061A5">
        <w:t>ey contributing factors include:</w:t>
      </w:r>
    </w:p>
    <w:p w:rsidRPr="004415B7" w:rsidR="004061A5" w:rsidP="00B55494" w:rsidRDefault="004061A5" w14:paraId="7CDCB229" w14:textId="10975334">
      <w:pPr>
        <w:pStyle w:val="ListParagraph"/>
        <w:numPr>
          <w:ilvl w:val="2"/>
          <w:numId w:val="8"/>
        </w:numPr>
        <w:tabs>
          <w:tab w:val="clear" w:pos="426"/>
        </w:tabs>
        <w:ind w:left="1701" w:hanging="425"/>
      </w:pPr>
      <w:r w:rsidRPr="004415B7">
        <w:t>Volatility in income and expenditure</w:t>
      </w:r>
    </w:p>
    <w:p w:rsidRPr="004415B7" w:rsidR="004061A5" w:rsidP="00B55494" w:rsidRDefault="004061A5" w14:paraId="0C1E4752" w14:textId="2C1DAD5E">
      <w:pPr>
        <w:pStyle w:val="ListParagraph"/>
        <w:numPr>
          <w:ilvl w:val="2"/>
          <w:numId w:val="8"/>
        </w:numPr>
        <w:tabs>
          <w:tab w:val="clear" w:pos="426"/>
        </w:tabs>
        <w:ind w:left="1701" w:hanging="425"/>
      </w:pPr>
      <w:r w:rsidRPr="004415B7">
        <w:t>Inflation-driven cost escalation, affecting materials for capital projects</w:t>
      </w:r>
    </w:p>
    <w:p w:rsidRPr="004415B7" w:rsidR="004061A5" w:rsidP="00B55494" w:rsidRDefault="004061A5" w14:paraId="02F4A755" w14:textId="11E02A92">
      <w:pPr>
        <w:pStyle w:val="ListParagraph"/>
        <w:numPr>
          <w:ilvl w:val="2"/>
          <w:numId w:val="8"/>
        </w:numPr>
        <w:tabs>
          <w:tab w:val="clear" w:pos="426"/>
        </w:tabs>
        <w:ind w:left="1701" w:hanging="425"/>
      </w:pPr>
      <w:r w:rsidRPr="004415B7">
        <w:t>Rising service demands, such as temporary accommodation</w:t>
      </w:r>
    </w:p>
    <w:p w:rsidRPr="004415B7" w:rsidR="00BD6000" w:rsidP="00B55494" w:rsidRDefault="00BD6000" w14:paraId="3371CE2F" w14:textId="400C6799">
      <w:pPr>
        <w:pStyle w:val="ListParagraph"/>
        <w:numPr>
          <w:ilvl w:val="2"/>
          <w:numId w:val="8"/>
        </w:numPr>
        <w:tabs>
          <w:tab w:val="clear" w:pos="426"/>
        </w:tabs>
        <w:ind w:left="1701" w:hanging="425"/>
      </w:pPr>
      <w:r w:rsidRPr="004415B7">
        <w:t>Broader economic weaknesses, which may depress income streams such as commercial rents and business rates</w:t>
      </w:r>
    </w:p>
    <w:p w:rsidRPr="004415B7" w:rsidR="00C77025" w:rsidP="00B55494" w:rsidRDefault="005B7D62" w14:paraId="6A5F13F9" w14:textId="24063F9D">
      <w:pPr>
        <w:pStyle w:val="Bulletpoints"/>
        <w:numPr>
          <w:ilvl w:val="0"/>
          <w:numId w:val="11"/>
        </w:numPr>
        <w:tabs>
          <w:tab w:val="clear" w:pos="993"/>
        </w:tabs>
        <w:ind w:left="1276" w:hanging="425"/>
      </w:pPr>
      <w:r w:rsidRPr="004415B7">
        <w:rPr>
          <w:b/>
          <w:bCs/>
        </w:rPr>
        <w:t>A utilities infrastructure that does not meet the needs of the city</w:t>
      </w:r>
      <w:r w:rsidRPr="004415B7" w:rsidR="0056233A">
        <w:rPr>
          <w:b/>
          <w:bCs/>
        </w:rPr>
        <w:t xml:space="preserve"> </w:t>
      </w:r>
      <w:r w:rsidRPr="004415B7" w:rsidR="0056233A">
        <w:t>– this</w:t>
      </w:r>
      <w:r w:rsidRPr="004415B7" w:rsidR="0056233A">
        <w:rPr>
          <w:b/>
          <w:bCs/>
        </w:rPr>
        <w:t xml:space="preserve"> </w:t>
      </w:r>
      <w:r w:rsidRPr="004415B7" w:rsidR="00C77025">
        <w:t>risk identifies that without further investment and partnership working, the city's utility infrastructure will come under increasing strain, adversely impacting citizens' well-being and the city's prosperity</w:t>
      </w:r>
    </w:p>
    <w:p w:rsidRPr="004415B7" w:rsidR="0056233A" w:rsidP="00B55494" w:rsidRDefault="005B7D62" w14:paraId="2358CD92" w14:textId="32ACEAC7">
      <w:pPr>
        <w:pStyle w:val="Bulletpoints"/>
        <w:numPr>
          <w:ilvl w:val="0"/>
          <w:numId w:val="11"/>
        </w:numPr>
        <w:tabs>
          <w:tab w:val="clear" w:pos="993"/>
        </w:tabs>
        <w:ind w:left="1276" w:hanging="425"/>
      </w:pPr>
      <w:r w:rsidRPr="004415B7">
        <w:rPr>
          <w:b/>
          <w:bCs/>
        </w:rPr>
        <w:t>Cybersecurity and IT infrastructure resilience</w:t>
      </w:r>
      <w:r w:rsidRPr="004415B7" w:rsidR="0056233A">
        <w:rPr>
          <w:b/>
          <w:bCs/>
        </w:rPr>
        <w:t xml:space="preserve"> </w:t>
      </w:r>
      <w:r w:rsidRPr="004415B7" w:rsidR="0056233A">
        <w:t xml:space="preserve">- this risk </w:t>
      </w:r>
      <w:r w:rsidRPr="004415B7" w:rsidR="00FF52C5">
        <w:t xml:space="preserve">addresses the failure to prevent and respond to cyber-attacks and ensure that </w:t>
      </w:r>
      <w:r w:rsidR="00DC50D5">
        <w:t xml:space="preserve">the Council’s </w:t>
      </w:r>
      <w:r w:rsidRPr="004415B7" w:rsidR="00FF52C5">
        <w:t>IT infrastructure is fit for purpose and adaptable to future needs.</w:t>
      </w:r>
    </w:p>
    <w:p w:rsidRPr="004415B7" w:rsidR="0056233A" w:rsidP="00265A3A" w:rsidRDefault="005B7D62" w14:paraId="4FED0BAC" w14:textId="1D43EBDA">
      <w:pPr>
        <w:pStyle w:val="Bulletpoints"/>
        <w:tabs>
          <w:tab w:val="clear" w:pos="993"/>
        </w:tabs>
        <w:ind w:left="1276" w:hanging="425"/>
        <w:rPr>
          <w:b/>
          <w:bCs/>
        </w:rPr>
      </w:pPr>
      <w:r w:rsidRPr="004415B7">
        <w:rPr>
          <w:b/>
          <w:bCs/>
        </w:rPr>
        <w:t>Addressing the causes and impacts of climate change</w:t>
      </w:r>
      <w:r w:rsidRPr="004415B7" w:rsidR="00A50EE8">
        <w:rPr>
          <w:b/>
          <w:bCs/>
        </w:rPr>
        <w:t xml:space="preserve"> </w:t>
      </w:r>
      <w:r w:rsidRPr="004415B7" w:rsidR="00A50EE8">
        <w:t xml:space="preserve">– </w:t>
      </w:r>
      <w:r w:rsidRPr="004415B7" w:rsidR="0056233A">
        <w:t>this risk</w:t>
      </w:r>
      <w:r w:rsidRPr="004415B7" w:rsidR="00C22B37">
        <w:t xml:space="preserve"> identifies the</w:t>
      </w:r>
      <w:r w:rsidRPr="004415B7" w:rsidR="0056233A">
        <w:t xml:space="preserve"> factors that could prevent the Council from prioritising efforts to tackle the causes of climate change and mitigate its effects. Failure to do so would harm both residents and the environment.</w:t>
      </w:r>
    </w:p>
    <w:p w:rsidRPr="004415B7" w:rsidR="00047184" w:rsidP="004F5EA2" w:rsidRDefault="005B7D62" w14:paraId="115DA105" w14:textId="3EFD1E62">
      <w:pPr>
        <w:pStyle w:val="Bulletpoints"/>
        <w:tabs>
          <w:tab w:val="clear" w:pos="993"/>
        </w:tabs>
        <w:ind w:left="1276" w:hanging="425"/>
        <w:rPr>
          <w:b/>
          <w:bCs/>
        </w:rPr>
      </w:pPr>
      <w:r w:rsidRPr="004415B7">
        <w:rPr>
          <w:b/>
          <w:bCs/>
        </w:rPr>
        <w:t>A failure to deliver Temporary Accommodation strategies to meet demand and increases in homelessness</w:t>
      </w:r>
      <w:r w:rsidRPr="004415B7" w:rsidR="0056233A">
        <w:t xml:space="preserve"> - </w:t>
      </w:r>
      <w:r w:rsidRPr="004415B7" w:rsidR="00E87A41">
        <w:t>t</w:t>
      </w:r>
      <w:r w:rsidRPr="004415B7" w:rsidR="0056233A">
        <w:t xml:space="preserve">his risk assesses the potential consequences if the Council fails to implement effective mitigation measures to control temporary accommodation costs or develop contingency plans to meet the increasing demand for homelessness prevention. It also considers the challenges of securing an adequate </w:t>
      </w:r>
      <w:r w:rsidRPr="004415B7" w:rsidR="0056233A">
        <w:lastRenderedPageBreak/>
        <w:t>housing supply through the private rented sector and the Council’s development programme.</w:t>
      </w:r>
    </w:p>
    <w:p w:rsidRPr="004415B7" w:rsidR="00847560" w:rsidRDefault="00847560" w14:paraId="66C4BFA8" w14:textId="3BC84D2A">
      <w:pPr>
        <w:pStyle w:val="Bulletpoints"/>
        <w:tabs>
          <w:tab w:val="clear" w:pos="993"/>
        </w:tabs>
        <w:ind w:left="1276" w:hanging="425"/>
      </w:pPr>
      <w:r w:rsidRPr="004415B7">
        <w:rPr>
          <w:b/>
          <w:bCs/>
        </w:rPr>
        <w:t>A failure to meet Social Housing (Regulation) Act</w:t>
      </w:r>
      <w:r w:rsidR="00DC50D5">
        <w:rPr>
          <w:b/>
          <w:bCs/>
        </w:rPr>
        <w:t xml:space="preserve"> 2023 </w:t>
      </w:r>
      <w:r w:rsidRPr="004415B7">
        <w:rPr>
          <w:b/>
          <w:bCs/>
        </w:rPr>
        <w:t>customer/consumer</w:t>
      </w:r>
      <w:r w:rsidRPr="004415B7" w:rsidR="00047184">
        <w:rPr>
          <w:b/>
          <w:bCs/>
        </w:rPr>
        <w:t xml:space="preserve"> s</w:t>
      </w:r>
      <w:r w:rsidRPr="004415B7">
        <w:rPr>
          <w:b/>
          <w:bCs/>
        </w:rPr>
        <w:t xml:space="preserve">tandards </w:t>
      </w:r>
      <w:r w:rsidRPr="004415B7">
        <w:t xml:space="preserve">- this risk evaluates the potential impact if the Council, in its capacity as a landlord, fails to fully comply with the Social Housing (Regulation) Act </w:t>
      </w:r>
      <w:r w:rsidR="00A3508E">
        <w:t xml:space="preserve">2023 </w:t>
      </w:r>
      <w:r w:rsidRPr="004415B7">
        <w:t>customer standards, particularly the Safety and Quality Consumer Standard. Such a failure could result</w:t>
      </w:r>
      <w:r w:rsidRPr="004415B7" w:rsidR="008938C6">
        <w:t xml:space="preserve"> </w:t>
      </w:r>
      <w:r w:rsidRPr="004415B7">
        <w:t>in a major incident that compromises tenant safety, leading to sanctions, regulatory</w:t>
      </w:r>
      <w:r w:rsidRPr="004415B7" w:rsidR="008938C6">
        <w:t xml:space="preserve"> </w:t>
      </w:r>
      <w:r w:rsidRPr="004415B7">
        <w:t>intervention, and severe reputational damage</w:t>
      </w:r>
      <w:r w:rsidRPr="004415B7" w:rsidR="008938C6">
        <w:t>.</w:t>
      </w:r>
    </w:p>
    <w:bookmarkEnd w:id="2"/>
    <w:p w:rsidRPr="004415B7" w:rsidR="002C0C9B" w:rsidP="00CE41F1" w:rsidRDefault="00913543" w14:paraId="23FC7A38" w14:textId="2BD4B92C">
      <w:pPr>
        <w:pStyle w:val="ListParagraph"/>
        <w:numPr>
          <w:ilvl w:val="0"/>
          <w:numId w:val="5"/>
        </w:numPr>
        <w:tabs>
          <w:tab w:val="clear" w:pos="426"/>
        </w:tabs>
        <w:ind w:left="851" w:hanging="567"/>
        <w:rPr>
          <w:color w:val="auto"/>
        </w:rPr>
      </w:pPr>
      <w:r w:rsidRPr="004415B7">
        <w:rPr>
          <w:color w:val="auto"/>
        </w:rPr>
        <w:t xml:space="preserve">The current corporate </w:t>
      </w:r>
      <w:r w:rsidRPr="004415B7" w:rsidR="00284815">
        <w:rPr>
          <w:color w:val="auto"/>
        </w:rPr>
        <w:t>a</w:t>
      </w:r>
      <w:r w:rsidRPr="004415B7">
        <w:rPr>
          <w:color w:val="auto"/>
        </w:rPr>
        <w:t>mber risks are:</w:t>
      </w:r>
    </w:p>
    <w:p w:rsidRPr="004415B7" w:rsidR="00913543" w:rsidP="00B55494" w:rsidRDefault="00913543" w14:paraId="6CC6F877" w14:textId="04362232">
      <w:pPr>
        <w:pStyle w:val="ListParagraph"/>
        <w:numPr>
          <w:ilvl w:val="0"/>
          <w:numId w:val="12"/>
        </w:numPr>
        <w:ind w:left="1276" w:hanging="425"/>
        <w:contextualSpacing/>
        <w:rPr>
          <w:color w:val="auto"/>
        </w:rPr>
      </w:pPr>
      <w:r w:rsidRPr="004415B7">
        <w:rPr>
          <w:color w:val="auto"/>
        </w:rPr>
        <w:t>Workforce stability</w:t>
      </w:r>
    </w:p>
    <w:p w:rsidRPr="004415B7" w:rsidR="00913543" w:rsidP="00B55494" w:rsidRDefault="00913543" w14:paraId="13285217" w14:textId="5F9B76F2">
      <w:pPr>
        <w:pStyle w:val="ListParagraph"/>
        <w:numPr>
          <w:ilvl w:val="0"/>
          <w:numId w:val="12"/>
        </w:numPr>
        <w:ind w:left="1276" w:hanging="425"/>
        <w:contextualSpacing/>
        <w:rPr>
          <w:color w:val="auto"/>
        </w:rPr>
      </w:pPr>
      <w:r w:rsidRPr="004415B7">
        <w:rPr>
          <w:color w:val="auto"/>
        </w:rPr>
        <w:t>Failure to comply with governance requirements</w:t>
      </w:r>
    </w:p>
    <w:p w:rsidRPr="004415B7" w:rsidR="00913543" w:rsidP="00B55494" w:rsidRDefault="00913543" w14:paraId="283D841F" w14:textId="3F9384F9">
      <w:pPr>
        <w:pStyle w:val="ListParagraph"/>
        <w:numPr>
          <w:ilvl w:val="0"/>
          <w:numId w:val="12"/>
        </w:numPr>
        <w:ind w:left="1276" w:hanging="425"/>
        <w:contextualSpacing/>
        <w:rPr>
          <w:color w:val="auto"/>
        </w:rPr>
      </w:pPr>
      <w:r w:rsidRPr="004415B7">
        <w:rPr>
          <w:color w:val="auto"/>
        </w:rPr>
        <w:t xml:space="preserve">Political and partnership landscape – Local and National </w:t>
      </w:r>
    </w:p>
    <w:p w:rsidRPr="004415B7" w:rsidR="00913543" w:rsidP="00B55494" w:rsidRDefault="00913543" w14:paraId="3C0DEFB7" w14:textId="2B34917D">
      <w:pPr>
        <w:pStyle w:val="ListParagraph"/>
        <w:numPr>
          <w:ilvl w:val="0"/>
          <w:numId w:val="12"/>
        </w:numPr>
        <w:ind w:left="1276" w:hanging="425"/>
        <w:contextualSpacing/>
        <w:rPr>
          <w:color w:val="auto"/>
        </w:rPr>
      </w:pPr>
      <w:r w:rsidRPr="004415B7">
        <w:rPr>
          <w:color w:val="auto"/>
        </w:rPr>
        <w:t>Increased demand for services</w:t>
      </w:r>
    </w:p>
    <w:p w:rsidRPr="004415B7" w:rsidR="00016819" w:rsidP="00B55494" w:rsidRDefault="00016819" w14:paraId="03078EC8" w14:textId="56DE399E">
      <w:pPr>
        <w:pStyle w:val="ListParagraph"/>
        <w:numPr>
          <w:ilvl w:val="0"/>
          <w:numId w:val="12"/>
        </w:numPr>
        <w:ind w:left="1276" w:hanging="425"/>
        <w:contextualSpacing/>
        <w:rPr>
          <w:color w:val="auto"/>
        </w:rPr>
      </w:pPr>
      <w:r w:rsidRPr="004415B7">
        <w:rPr>
          <w:color w:val="auto"/>
        </w:rPr>
        <w:t>Flood</w:t>
      </w:r>
    </w:p>
    <w:p w:rsidRPr="004415B7" w:rsidR="00913543" w:rsidP="00B55494" w:rsidRDefault="00913543" w14:paraId="0BC7938D" w14:textId="4AF70F02">
      <w:pPr>
        <w:pStyle w:val="ListParagraph"/>
        <w:numPr>
          <w:ilvl w:val="0"/>
          <w:numId w:val="12"/>
        </w:numPr>
        <w:ind w:left="1276" w:hanging="425"/>
        <w:contextualSpacing/>
        <w:rPr>
          <w:color w:val="auto"/>
        </w:rPr>
      </w:pPr>
      <w:r w:rsidRPr="004415B7">
        <w:rPr>
          <w:color w:val="auto"/>
        </w:rPr>
        <w:t>Adverse weather, terrorism, and utility outage</w:t>
      </w:r>
    </w:p>
    <w:p w:rsidRPr="004415B7" w:rsidR="00913543" w:rsidP="00B55494" w:rsidRDefault="00913543" w14:paraId="52F882D6" w14:textId="77C21218">
      <w:pPr>
        <w:pStyle w:val="ListParagraph"/>
        <w:numPr>
          <w:ilvl w:val="0"/>
          <w:numId w:val="12"/>
        </w:numPr>
        <w:ind w:left="1276" w:hanging="425"/>
        <w:contextualSpacing/>
        <w:rPr>
          <w:color w:val="auto"/>
        </w:rPr>
      </w:pPr>
      <w:r w:rsidRPr="004415B7">
        <w:rPr>
          <w:color w:val="auto"/>
        </w:rPr>
        <w:t>The workforce and public are healthy and safe</w:t>
      </w:r>
    </w:p>
    <w:p w:rsidRPr="004415B7" w:rsidR="00913543" w:rsidP="00284815" w:rsidRDefault="00913543" w14:paraId="1FBFD41B" w14:textId="7FFA37C7">
      <w:pPr>
        <w:pStyle w:val="ListParagraph"/>
        <w:numPr>
          <w:ilvl w:val="0"/>
          <w:numId w:val="12"/>
        </w:numPr>
        <w:ind w:left="1276" w:hanging="425"/>
        <w:rPr>
          <w:color w:val="auto"/>
        </w:rPr>
      </w:pPr>
      <w:r w:rsidRPr="004415B7">
        <w:rPr>
          <w:color w:val="auto"/>
        </w:rPr>
        <w:t>A failure to deliver housing priorities and business plans</w:t>
      </w:r>
    </w:p>
    <w:p w:rsidRPr="004415B7" w:rsidR="00913543" w:rsidP="00B37A6D" w:rsidRDefault="00913543" w14:paraId="376BC699" w14:textId="0E56A11C">
      <w:pPr>
        <w:pStyle w:val="ListParagraph"/>
        <w:numPr>
          <w:ilvl w:val="0"/>
          <w:numId w:val="5"/>
        </w:numPr>
        <w:tabs>
          <w:tab w:val="clear" w:pos="426"/>
        </w:tabs>
        <w:ind w:left="851" w:hanging="567"/>
        <w:rPr>
          <w:color w:val="auto"/>
        </w:rPr>
      </w:pPr>
      <w:r w:rsidRPr="004415B7">
        <w:rPr>
          <w:color w:val="auto"/>
        </w:rPr>
        <w:t xml:space="preserve">There are no corporate </w:t>
      </w:r>
      <w:r w:rsidRPr="004415B7" w:rsidR="0086578A">
        <w:rPr>
          <w:color w:val="auto"/>
        </w:rPr>
        <w:t>g</w:t>
      </w:r>
      <w:r w:rsidRPr="004415B7">
        <w:rPr>
          <w:color w:val="auto"/>
        </w:rPr>
        <w:t>reen risks</w:t>
      </w:r>
      <w:r w:rsidRPr="004415B7" w:rsidR="0086578A">
        <w:rPr>
          <w:color w:val="auto"/>
        </w:rPr>
        <w:t xml:space="preserve"> at 2Q</w:t>
      </w:r>
    </w:p>
    <w:p w:rsidRPr="004415B7" w:rsidR="005727B7" w:rsidRDefault="00A51AFF" w14:paraId="3CEDAC62" w14:textId="76308153">
      <w:pPr>
        <w:pStyle w:val="ListParagraph"/>
        <w:numPr>
          <w:ilvl w:val="0"/>
          <w:numId w:val="5"/>
        </w:numPr>
        <w:tabs>
          <w:tab w:val="clear" w:pos="426"/>
        </w:tabs>
        <w:ind w:left="851" w:hanging="567"/>
        <w:rPr>
          <w:color w:val="auto"/>
        </w:rPr>
      </w:pPr>
      <w:r w:rsidRPr="004415B7">
        <w:rPr>
          <w:color w:val="auto"/>
        </w:rPr>
        <w:t xml:space="preserve">As part of the service planning process, all service risks are reviewed. </w:t>
      </w:r>
      <w:r w:rsidRPr="004415B7" w:rsidR="002E10CB">
        <w:rPr>
          <w:color w:val="auto"/>
        </w:rPr>
        <w:t xml:space="preserve">Those no longer relevant are deleted, and any new ones </w:t>
      </w:r>
      <w:r w:rsidRPr="004415B7" w:rsidR="00256B64">
        <w:rPr>
          <w:color w:val="auto"/>
        </w:rPr>
        <w:t xml:space="preserve">are </w:t>
      </w:r>
      <w:r w:rsidRPr="004415B7" w:rsidR="002E10CB">
        <w:rPr>
          <w:color w:val="auto"/>
        </w:rPr>
        <w:t>added.</w:t>
      </w:r>
      <w:r w:rsidRPr="004415B7" w:rsidR="005727B7">
        <w:rPr>
          <w:color w:val="auto"/>
        </w:rPr>
        <w:t xml:space="preserve"> The table below shows the number of service risks </w:t>
      </w:r>
      <w:proofErr w:type="gramStart"/>
      <w:r w:rsidRPr="004415B7" w:rsidR="005727B7">
        <w:rPr>
          <w:color w:val="auto"/>
        </w:rPr>
        <w:t>at</w:t>
      </w:r>
      <w:proofErr w:type="gramEnd"/>
      <w:r w:rsidRPr="004415B7" w:rsidR="005727B7">
        <w:rPr>
          <w:color w:val="auto"/>
        </w:rPr>
        <w:t xml:space="preserve"> 30 </w:t>
      </w:r>
      <w:r w:rsidRPr="004415B7" w:rsidR="00256B64">
        <w:rPr>
          <w:color w:val="auto"/>
        </w:rPr>
        <w:t>September</w:t>
      </w:r>
      <w:r w:rsidRPr="004415B7" w:rsidR="005727B7">
        <w:rPr>
          <w:color w:val="auto"/>
        </w:rPr>
        <w:t xml:space="preserve"> 2025 compared with the previous reported quarters.</w:t>
      </w:r>
    </w:p>
    <w:tbl>
      <w:tblPr>
        <w:tblW w:w="7722" w:type="dxa"/>
        <w:tblInd w:w="827" w:type="dxa"/>
        <w:tblLook w:val="04A0" w:firstRow="1" w:lastRow="0" w:firstColumn="1" w:lastColumn="0" w:noHBand="0" w:noVBand="1"/>
      </w:tblPr>
      <w:tblGrid>
        <w:gridCol w:w="2240"/>
        <w:gridCol w:w="1084"/>
        <w:gridCol w:w="1084"/>
        <w:gridCol w:w="1084"/>
        <w:gridCol w:w="1115"/>
        <w:gridCol w:w="1115"/>
      </w:tblGrid>
      <w:tr w:rsidRPr="004415B7" w:rsidR="00F60C42" w:rsidTr="00F60C42" w14:paraId="7E430982" w14:textId="15BF9535">
        <w:trPr>
          <w:trHeight w:val="312"/>
        </w:trPr>
        <w:tc>
          <w:tcPr>
            <w:tcW w:w="2240" w:type="dxa"/>
            <w:vMerge w:val="restart"/>
            <w:tcBorders>
              <w:top w:val="single" w:color="000000" w:sz="8" w:space="0"/>
              <w:left w:val="single" w:color="000000" w:sz="8" w:space="0"/>
              <w:bottom w:val="single" w:color="000000" w:sz="8" w:space="0"/>
              <w:right w:val="single" w:color="000000" w:sz="8" w:space="0"/>
            </w:tcBorders>
            <w:noWrap/>
            <w:vAlign w:val="center"/>
          </w:tcPr>
          <w:p w:rsidRPr="004415B7" w:rsidR="00F60C42" w:rsidRDefault="00F60C42" w14:paraId="352454B9" w14:textId="77777777">
            <w:pPr>
              <w:spacing w:after="0"/>
              <w:jc w:val="center"/>
              <w:rPr>
                <w:rFonts w:cs="Arial"/>
                <w:b/>
                <w:bCs/>
              </w:rPr>
            </w:pPr>
            <w:r w:rsidRPr="004415B7">
              <w:rPr>
                <w:rFonts w:cs="Arial"/>
                <w:b/>
                <w:bCs/>
              </w:rPr>
              <w:t>Current Risk</w:t>
            </w:r>
          </w:p>
        </w:tc>
        <w:tc>
          <w:tcPr>
            <w:tcW w:w="1084" w:type="dxa"/>
            <w:tcBorders>
              <w:top w:val="single" w:color="000000" w:sz="8" w:space="0"/>
              <w:left w:val="nil"/>
              <w:bottom w:val="nil"/>
              <w:right w:val="single" w:color="000000" w:sz="8" w:space="0"/>
            </w:tcBorders>
            <w:vAlign w:val="center"/>
          </w:tcPr>
          <w:p w:rsidRPr="004415B7" w:rsidR="00F60C42" w:rsidRDefault="00F60C42" w14:paraId="4DD30F2E" w14:textId="77777777">
            <w:pPr>
              <w:spacing w:after="0"/>
              <w:jc w:val="center"/>
              <w:rPr>
                <w:rFonts w:cs="Arial"/>
                <w:b/>
                <w:bCs/>
              </w:rPr>
            </w:pPr>
            <w:r w:rsidRPr="004415B7">
              <w:rPr>
                <w:rFonts w:cs="Arial"/>
                <w:b/>
                <w:bCs/>
              </w:rPr>
              <w:t>Q1</w:t>
            </w:r>
          </w:p>
          <w:p w:rsidRPr="004415B7" w:rsidR="00F60C42" w:rsidRDefault="00F60C42" w14:paraId="34FA269D" w14:textId="77777777">
            <w:pPr>
              <w:spacing w:after="0"/>
              <w:jc w:val="center"/>
              <w:rPr>
                <w:rFonts w:cs="Arial"/>
                <w:b/>
                <w:bCs/>
              </w:rPr>
            </w:pPr>
            <w:r w:rsidRPr="004415B7">
              <w:rPr>
                <w:rFonts w:cs="Arial"/>
                <w:b/>
                <w:bCs/>
              </w:rPr>
              <w:t>2024/25</w:t>
            </w:r>
          </w:p>
        </w:tc>
        <w:tc>
          <w:tcPr>
            <w:tcW w:w="1084" w:type="dxa"/>
            <w:tcBorders>
              <w:top w:val="single" w:color="000000" w:sz="8" w:space="0"/>
              <w:left w:val="nil"/>
              <w:bottom w:val="nil"/>
              <w:right w:val="single" w:color="000000" w:sz="8" w:space="0"/>
            </w:tcBorders>
            <w:vAlign w:val="center"/>
          </w:tcPr>
          <w:p w:rsidRPr="004415B7" w:rsidR="00F60C42" w:rsidRDefault="00F60C42" w14:paraId="7BA812C6" w14:textId="77777777">
            <w:pPr>
              <w:spacing w:after="0"/>
              <w:jc w:val="center"/>
              <w:rPr>
                <w:rFonts w:cs="Arial"/>
                <w:b/>
                <w:bCs/>
              </w:rPr>
            </w:pPr>
            <w:r w:rsidRPr="004415B7">
              <w:rPr>
                <w:rFonts w:cs="Arial"/>
                <w:b/>
                <w:bCs/>
              </w:rPr>
              <w:t>Q3</w:t>
            </w:r>
          </w:p>
          <w:p w:rsidRPr="004415B7" w:rsidR="00F60C42" w:rsidRDefault="00F60C42" w14:paraId="79E5298A" w14:textId="77777777">
            <w:pPr>
              <w:spacing w:after="0"/>
              <w:jc w:val="center"/>
              <w:rPr>
                <w:rFonts w:cs="Arial"/>
                <w:b/>
                <w:bCs/>
              </w:rPr>
            </w:pPr>
            <w:r w:rsidRPr="004415B7">
              <w:rPr>
                <w:rFonts w:cs="Arial"/>
                <w:b/>
                <w:bCs/>
              </w:rPr>
              <w:t>2024/25</w:t>
            </w:r>
          </w:p>
        </w:tc>
        <w:tc>
          <w:tcPr>
            <w:tcW w:w="1084" w:type="dxa"/>
            <w:tcBorders>
              <w:top w:val="single" w:color="000000" w:sz="8" w:space="0"/>
              <w:left w:val="nil"/>
              <w:bottom w:val="nil"/>
              <w:right w:val="single" w:color="000000" w:sz="8" w:space="0"/>
            </w:tcBorders>
            <w:vAlign w:val="center"/>
          </w:tcPr>
          <w:p w:rsidRPr="004415B7" w:rsidR="00F60C42" w:rsidRDefault="00F60C42" w14:paraId="67779DD3" w14:textId="77777777">
            <w:pPr>
              <w:spacing w:after="0"/>
              <w:jc w:val="center"/>
              <w:rPr>
                <w:rFonts w:cs="Arial"/>
                <w:b/>
                <w:bCs/>
              </w:rPr>
            </w:pPr>
            <w:r w:rsidRPr="004415B7">
              <w:rPr>
                <w:rFonts w:cs="Arial"/>
                <w:b/>
                <w:bCs/>
              </w:rPr>
              <w:t>Q4</w:t>
            </w:r>
          </w:p>
          <w:p w:rsidRPr="004415B7" w:rsidR="00F60C42" w:rsidRDefault="00F60C42" w14:paraId="72EE89E1" w14:textId="77777777">
            <w:pPr>
              <w:spacing w:after="0"/>
              <w:jc w:val="center"/>
              <w:rPr>
                <w:rFonts w:cs="Arial"/>
                <w:b/>
                <w:bCs/>
              </w:rPr>
            </w:pPr>
            <w:r w:rsidRPr="004415B7">
              <w:rPr>
                <w:rFonts w:cs="Arial"/>
                <w:b/>
                <w:bCs/>
              </w:rPr>
              <w:t>2024/25</w:t>
            </w:r>
          </w:p>
        </w:tc>
        <w:tc>
          <w:tcPr>
            <w:tcW w:w="1115" w:type="dxa"/>
            <w:tcBorders>
              <w:top w:val="single" w:color="000000" w:sz="8" w:space="0"/>
              <w:left w:val="nil"/>
              <w:bottom w:val="nil"/>
              <w:right w:val="single" w:color="000000" w:sz="8" w:space="0"/>
            </w:tcBorders>
            <w:vAlign w:val="center"/>
          </w:tcPr>
          <w:p w:rsidRPr="004415B7" w:rsidR="00F60C42" w:rsidRDefault="00F60C42" w14:paraId="442C81F6" w14:textId="77777777">
            <w:pPr>
              <w:spacing w:after="0"/>
              <w:jc w:val="center"/>
              <w:rPr>
                <w:rFonts w:cs="Arial"/>
                <w:b/>
                <w:bCs/>
              </w:rPr>
            </w:pPr>
            <w:r w:rsidRPr="004415B7">
              <w:rPr>
                <w:rFonts w:cs="Arial"/>
                <w:b/>
                <w:bCs/>
              </w:rPr>
              <w:t>Q1</w:t>
            </w:r>
          </w:p>
          <w:p w:rsidRPr="004415B7" w:rsidR="00F60C42" w:rsidRDefault="00F60C42" w14:paraId="7A8292B4" w14:textId="77777777">
            <w:pPr>
              <w:spacing w:after="0"/>
              <w:jc w:val="center"/>
              <w:rPr>
                <w:rFonts w:cs="Arial"/>
                <w:b/>
                <w:bCs/>
              </w:rPr>
            </w:pPr>
            <w:r w:rsidRPr="004415B7">
              <w:rPr>
                <w:rFonts w:cs="Arial"/>
                <w:b/>
                <w:bCs/>
              </w:rPr>
              <w:t>2025/26</w:t>
            </w:r>
          </w:p>
        </w:tc>
        <w:tc>
          <w:tcPr>
            <w:tcW w:w="1115" w:type="dxa"/>
            <w:tcBorders>
              <w:top w:val="single" w:color="000000" w:sz="8" w:space="0"/>
              <w:left w:val="nil"/>
              <w:bottom w:val="nil"/>
              <w:right w:val="single" w:color="000000" w:sz="8" w:space="0"/>
            </w:tcBorders>
          </w:tcPr>
          <w:p w:rsidRPr="004415B7" w:rsidR="00F60C42" w:rsidRDefault="00F60C42" w14:paraId="33348517" w14:textId="77777777">
            <w:pPr>
              <w:spacing w:after="0"/>
              <w:jc w:val="center"/>
              <w:rPr>
                <w:rFonts w:cs="Arial"/>
                <w:b/>
                <w:bCs/>
              </w:rPr>
            </w:pPr>
            <w:r w:rsidRPr="004415B7">
              <w:rPr>
                <w:rFonts w:cs="Arial"/>
                <w:b/>
                <w:bCs/>
              </w:rPr>
              <w:t>Q2</w:t>
            </w:r>
          </w:p>
          <w:p w:rsidRPr="004415B7" w:rsidR="00F60C42" w:rsidRDefault="00F60C42" w14:paraId="71CBCF18" w14:textId="0C5F1489">
            <w:pPr>
              <w:spacing w:after="0"/>
              <w:jc w:val="center"/>
              <w:rPr>
                <w:rFonts w:cs="Arial"/>
                <w:b/>
                <w:bCs/>
              </w:rPr>
            </w:pPr>
            <w:r w:rsidRPr="004415B7">
              <w:rPr>
                <w:rFonts w:cs="Arial"/>
                <w:b/>
                <w:bCs/>
              </w:rPr>
              <w:t>2025/26</w:t>
            </w:r>
          </w:p>
        </w:tc>
      </w:tr>
      <w:tr w:rsidRPr="004415B7" w:rsidR="00F60C42" w:rsidTr="00F60C42" w14:paraId="0762DBAE" w14:textId="1B093979">
        <w:trPr>
          <w:trHeight w:val="324"/>
        </w:trPr>
        <w:tc>
          <w:tcPr>
            <w:tcW w:w="2240" w:type="dxa"/>
            <w:vMerge/>
            <w:tcBorders>
              <w:top w:val="single" w:color="000000" w:sz="8" w:space="0"/>
              <w:left w:val="single" w:color="000000" w:sz="8" w:space="0"/>
              <w:bottom w:val="single" w:color="000000" w:sz="8" w:space="0"/>
              <w:right w:val="single" w:color="000000" w:sz="8" w:space="0"/>
            </w:tcBorders>
            <w:vAlign w:val="center"/>
          </w:tcPr>
          <w:p w:rsidRPr="004415B7" w:rsidR="00F60C42" w:rsidRDefault="00F60C42" w14:paraId="6CD0C5D2" w14:textId="77777777">
            <w:pPr>
              <w:spacing w:after="0"/>
              <w:rPr>
                <w:rFonts w:cs="Arial"/>
                <w:b/>
                <w:bCs/>
              </w:rPr>
            </w:pPr>
          </w:p>
        </w:tc>
        <w:tc>
          <w:tcPr>
            <w:tcW w:w="1084" w:type="dxa"/>
            <w:tcBorders>
              <w:top w:val="nil"/>
              <w:left w:val="nil"/>
              <w:bottom w:val="single" w:color="000000" w:sz="8" w:space="0"/>
              <w:right w:val="single" w:color="000000" w:sz="8" w:space="0"/>
            </w:tcBorders>
            <w:vAlign w:val="center"/>
          </w:tcPr>
          <w:p w:rsidRPr="004415B7" w:rsidR="00F60C42" w:rsidRDefault="00F60C42" w14:paraId="20420466" w14:textId="77777777">
            <w:pPr>
              <w:spacing w:after="0"/>
              <w:rPr>
                <w:rFonts w:cs="Arial"/>
                <w:b/>
                <w:bCs/>
              </w:rPr>
            </w:pPr>
          </w:p>
        </w:tc>
        <w:tc>
          <w:tcPr>
            <w:tcW w:w="1084" w:type="dxa"/>
            <w:tcBorders>
              <w:top w:val="nil"/>
              <w:left w:val="nil"/>
              <w:bottom w:val="single" w:color="000000" w:sz="8" w:space="0"/>
              <w:right w:val="single" w:color="000000" w:sz="8" w:space="0"/>
            </w:tcBorders>
            <w:vAlign w:val="center"/>
          </w:tcPr>
          <w:p w:rsidRPr="004415B7" w:rsidR="00F60C42" w:rsidRDefault="00F60C42" w14:paraId="1FAF8151" w14:textId="77777777">
            <w:pPr>
              <w:spacing w:after="0"/>
              <w:jc w:val="center"/>
              <w:rPr>
                <w:rFonts w:cs="Arial"/>
                <w:b/>
                <w:bCs/>
              </w:rPr>
            </w:pPr>
          </w:p>
        </w:tc>
        <w:tc>
          <w:tcPr>
            <w:tcW w:w="1084" w:type="dxa"/>
            <w:tcBorders>
              <w:top w:val="nil"/>
              <w:left w:val="nil"/>
              <w:bottom w:val="single" w:color="000000" w:sz="8" w:space="0"/>
              <w:right w:val="single" w:color="000000" w:sz="8" w:space="0"/>
            </w:tcBorders>
            <w:vAlign w:val="center"/>
          </w:tcPr>
          <w:p w:rsidRPr="004415B7" w:rsidR="00F60C42" w:rsidRDefault="00F60C42" w14:paraId="2B00C61C" w14:textId="77777777">
            <w:pPr>
              <w:spacing w:after="0"/>
              <w:jc w:val="center"/>
              <w:rPr>
                <w:rFonts w:cs="Arial"/>
                <w:b/>
                <w:bCs/>
              </w:rPr>
            </w:pPr>
          </w:p>
        </w:tc>
        <w:tc>
          <w:tcPr>
            <w:tcW w:w="1115" w:type="dxa"/>
            <w:tcBorders>
              <w:top w:val="nil"/>
              <w:left w:val="nil"/>
              <w:bottom w:val="single" w:color="000000" w:sz="8" w:space="0"/>
              <w:right w:val="single" w:color="000000" w:sz="8" w:space="0"/>
            </w:tcBorders>
            <w:vAlign w:val="center"/>
          </w:tcPr>
          <w:p w:rsidRPr="004415B7" w:rsidR="00F60C42" w:rsidRDefault="00F60C42" w14:paraId="57BCF72A" w14:textId="77777777">
            <w:pPr>
              <w:spacing w:after="0"/>
              <w:jc w:val="center"/>
              <w:rPr>
                <w:rFonts w:cs="Arial"/>
                <w:b/>
                <w:bCs/>
              </w:rPr>
            </w:pPr>
          </w:p>
        </w:tc>
        <w:tc>
          <w:tcPr>
            <w:tcW w:w="1115" w:type="dxa"/>
            <w:tcBorders>
              <w:top w:val="nil"/>
              <w:left w:val="nil"/>
              <w:bottom w:val="single" w:color="000000" w:sz="8" w:space="0"/>
              <w:right w:val="single" w:color="000000" w:sz="8" w:space="0"/>
            </w:tcBorders>
          </w:tcPr>
          <w:p w:rsidRPr="004415B7" w:rsidR="00F60C42" w:rsidRDefault="00F60C42" w14:paraId="4BEE8C61" w14:textId="77777777">
            <w:pPr>
              <w:spacing w:after="0"/>
              <w:jc w:val="center"/>
              <w:rPr>
                <w:rFonts w:cs="Arial"/>
                <w:b/>
                <w:bCs/>
              </w:rPr>
            </w:pPr>
          </w:p>
        </w:tc>
      </w:tr>
      <w:tr w:rsidRPr="004415B7" w:rsidR="003D7A5B" w14:paraId="3C5C91FB" w14:textId="5139CD0A">
        <w:trPr>
          <w:trHeight w:val="312"/>
        </w:trPr>
        <w:tc>
          <w:tcPr>
            <w:tcW w:w="2240" w:type="dxa"/>
            <w:tcBorders>
              <w:top w:val="nil"/>
              <w:left w:val="single" w:color="000000" w:sz="8" w:space="0"/>
              <w:bottom w:val="single" w:color="000000" w:sz="8" w:space="0"/>
              <w:right w:val="single" w:color="000000" w:sz="8" w:space="0"/>
            </w:tcBorders>
            <w:noWrap/>
            <w:vAlign w:val="center"/>
          </w:tcPr>
          <w:p w:rsidRPr="004415B7" w:rsidR="003D7A5B" w:rsidP="003D7A5B" w:rsidRDefault="003D7A5B" w14:paraId="76925862" w14:textId="77777777">
            <w:pPr>
              <w:spacing w:after="0"/>
              <w:rPr>
                <w:rFonts w:cs="Arial"/>
              </w:rPr>
            </w:pPr>
            <w:r w:rsidRPr="004415B7">
              <w:rPr>
                <w:rFonts w:cs="Arial"/>
              </w:rPr>
              <w:t>Red</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67558DF4" w14:textId="77777777">
            <w:pPr>
              <w:spacing w:after="0"/>
              <w:jc w:val="right"/>
              <w:rPr>
                <w:rFonts w:cs="Arial"/>
              </w:rPr>
            </w:pPr>
            <w:r w:rsidRPr="004415B7">
              <w:rPr>
                <w:rFonts w:cs="Arial"/>
              </w:rPr>
              <w:t>10</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5833A846" w14:textId="77777777">
            <w:pPr>
              <w:spacing w:after="0"/>
              <w:jc w:val="right"/>
              <w:rPr>
                <w:rFonts w:cs="Arial"/>
              </w:rPr>
            </w:pPr>
            <w:r w:rsidRPr="004415B7">
              <w:rPr>
                <w:rFonts w:cs="Arial"/>
              </w:rPr>
              <w:t>11</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50CB6F14" w14:textId="77777777">
            <w:pPr>
              <w:spacing w:after="0"/>
              <w:jc w:val="right"/>
              <w:rPr>
                <w:rFonts w:cs="Arial"/>
              </w:rPr>
            </w:pPr>
            <w:r w:rsidRPr="004415B7">
              <w:rPr>
                <w:rFonts w:cs="Arial"/>
              </w:rPr>
              <w:t>11</w:t>
            </w:r>
          </w:p>
        </w:tc>
        <w:tc>
          <w:tcPr>
            <w:tcW w:w="1115" w:type="dxa"/>
            <w:tcBorders>
              <w:top w:val="nil"/>
              <w:left w:val="nil"/>
              <w:bottom w:val="single" w:color="000000" w:sz="8" w:space="0"/>
              <w:right w:val="single" w:color="000000" w:sz="8" w:space="0"/>
            </w:tcBorders>
            <w:vAlign w:val="center"/>
          </w:tcPr>
          <w:p w:rsidRPr="004415B7" w:rsidR="003D7A5B" w:rsidP="003D7A5B" w:rsidRDefault="003D7A5B" w14:paraId="27713074" w14:textId="77777777">
            <w:pPr>
              <w:spacing w:after="0"/>
              <w:jc w:val="right"/>
              <w:rPr>
                <w:rFonts w:cs="Arial"/>
              </w:rPr>
            </w:pPr>
            <w:r w:rsidRPr="004415B7">
              <w:rPr>
                <w:rFonts w:cs="Arial"/>
              </w:rPr>
              <w:t>10</w:t>
            </w:r>
          </w:p>
        </w:tc>
        <w:tc>
          <w:tcPr>
            <w:tcW w:w="1115" w:type="dxa"/>
            <w:tcBorders>
              <w:top w:val="nil"/>
              <w:left w:val="nil"/>
              <w:bottom w:val="single" w:color="000000" w:sz="8" w:space="0"/>
              <w:right w:val="single" w:color="000000" w:sz="8" w:space="0"/>
            </w:tcBorders>
            <w:vAlign w:val="center"/>
          </w:tcPr>
          <w:p w:rsidRPr="004415B7" w:rsidR="003D7A5B" w:rsidP="003D7A5B" w:rsidRDefault="003D7A5B" w14:paraId="317BDBEA" w14:textId="74287777">
            <w:pPr>
              <w:spacing w:after="0"/>
              <w:jc w:val="right"/>
              <w:rPr>
                <w:rFonts w:cs="Arial"/>
              </w:rPr>
            </w:pPr>
            <w:r w:rsidRPr="004415B7">
              <w:rPr>
                <w:rFonts w:cs="Arial"/>
              </w:rPr>
              <w:t>12</w:t>
            </w:r>
          </w:p>
        </w:tc>
      </w:tr>
      <w:tr w:rsidRPr="004415B7" w:rsidR="003D7A5B" w14:paraId="64E24E29" w14:textId="4F515996">
        <w:trPr>
          <w:trHeight w:val="312"/>
        </w:trPr>
        <w:tc>
          <w:tcPr>
            <w:tcW w:w="2240" w:type="dxa"/>
            <w:tcBorders>
              <w:top w:val="nil"/>
              <w:left w:val="single" w:color="000000" w:sz="8" w:space="0"/>
              <w:bottom w:val="single" w:color="000000" w:sz="8" w:space="0"/>
              <w:right w:val="single" w:color="000000" w:sz="8" w:space="0"/>
            </w:tcBorders>
            <w:noWrap/>
            <w:vAlign w:val="center"/>
          </w:tcPr>
          <w:p w:rsidRPr="004415B7" w:rsidR="003D7A5B" w:rsidP="003D7A5B" w:rsidRDefault="003D7A5B" w14:paraId="46591ABB" w14:textId="77777777">
            <w:pPr>
              <w:spacing w:after="0"/>
              <w:rPr>
                <w:rFonts w:cs="Arial"/>
              </w:rPr>
            </w:pPr>
            <w:r w:rsidRPr="004415B7">
              <w:rPr>
                <w:rFonts w:cs="Arial"/>
              </w:rPr>
              <w:t>Amber</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63635BE3" w14:textId="77777777">
            <w:pPr>
              <w:spacing w:after="0"/>
              <w:jc w:val="right"/>
              <w:rPr>
                <w:rFonts w:cs="Arial"/>
              </w:rPr>
            </w:pPr>
            <w:r w:rsidRPr="004415B7">
              <w:rPr>
                <w:rFonts w:cs="Arial"/>
              </w:rPr>
              <w:t>44</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75C8F924" w14:textId="77777777">
            <w:pPr>
              <w:spacing w:after="0"/>
              <w:jc w:val="right"/>
              <w:rPr>
                <w:rFonts w:cs="Arial"/>
              </w:rPr>
            </w:pPr>
            <w:r w:rsidRPr="004415B7">
              <w:rPr>
                <w:rFonts w:cs="Arial"/>
              </w:rPr>
              <w:t>43</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3A0AC693" w14:textId="77777777">
            <w:pPr>
              <w:spacing w:after="0"/>
              <w:jc w:val="right"/>
              <w:rPr>
                <w:rFonts w:cs="Arial"/>
              </w:rPr>
            </w:pPr>
            <w:r w:rsidRPr="004415B7">
              <w:rPr>
                <w:rFonts w:cs="Arial"/>
              </w:rPr>
              <w:t>42</w:t>
            </w:r>
          </w:p>
        </w:tc>
        <w:tc>
          <w:tcPr>
            <w:tcW w:w="1115" w:type="dxa"/>
            <w:tcBorders>
              <w:top w:val="nil"/>
              <w:left w:val="nil"/>
              <w:bottom w:val="single" w:color="000000" w:sz="8" w:space="0"/>
              <w:right w:val="single" w:color="000000" w:sz="8" w:space="0"/>
            </w:tcBorders>
            <w:vAlign w:val="center"/>
          </w:tcPr>
          <w:p w:rsidRPr="004415B7" w:rsidR="003D7A5B" w:rsidP="003D7A5B" w:rsidRDefault="003D7A5B" w14:paraId="4A70CFD7" w14:textId="77777777">
            <w:pPr>
              <w:spacing w:after="0"/>
              <w:jc w:val="right"/>
              <w:rPr>
                <w:rFonts w:cs="Arial"/>
              </w:rPr>
            </w:pPr>
            <w:r w:rsidRPr="004415B7">
              <w:rPr>
                <w:rFonts w:cs="Arial"/>
              </w:rPr>
              <w:t>52</w:t>
            </w:r>
          </w:p>
        </w:tc>
        <w:tc>
          <w:tcPr>
            <w:tcW w:w="1115" w:type="dxa"/>
            <w:tcBorders>
              <w:top w:val="nil"/>
              <w:left w:val="nil"/>
              <w:bottom w:val="single" w:color="000000" w:sz="8" w:space="0"/>
              <w:right w:val="single" w:color="000000" w:sz="8" w:space="0"/>
            </w:tcBorders>
            <w:vAlign w:val="center"/>
          </w:tcPr>
          <w:p w:rsidRPr="004415B7" w:rsidR="003D7A5B" w:rsidP="003D7A5B" w:rsidRDefault="003D7A5B" w14:paraId="7EE6B2D8" w14:textId="79552BDE">
            <w:pPr>
              <w:spacing w:after="0"/>
              <w:jc w:val="right"/>
              <w:rPr>
                <w:rFonts w:cs="Arial"/>
              </w:rPr>
            </w:pPr>
            <w:r w:rsidRPr="004415B7">
              <w:rPr>
                <w:rFonts w:cs="Arial"/>
              </w:rPr>
              <w:t>56</w:t>
            </w:r>
          </w:p>
        </w:tc>
      </w:tr>
      <w:tr w:rsidRPr="004415B7" w:rsidR="003D7A5B" w14:paraId="2AA2B6F4" w14:textId="34E69BF5">
        <w:trPr>
          <w:trHeight w:val="312"/>
        </w:trPr>
        <w:tc>
          <w:tcPr>
            <w:tcW w:w="2240" w:type="dxa"/>
            <w:tcBorders>
              <w:top w:val="nil"/>
              <w:left w:val="single" w:color="000000" w:sz="8" w:space="0"/>
              <w:bottom w:val="single" w:color="000000" w:sz="8" w:space="0"/>
              <w:right w:val="single" w:color="000000" w:sz="8" w:space="0"/>
            </w:tcBorders>
            <w:noWrap/>
            <w:vAlign w:val="center"/>
          </w:tcPr>
          <w:p w:rsidRPr="004415B7" w:rsidR="003D7A5B" w:rsidP="003D7A5B" w:rsidRDefault="003D7A5B" w14:paraId="58DD59AD" w14:textId="77777777">
            <w:pPr>
              <w:spacing w:after="0"/>
              <w:rPr>
                <w:rFonts w:cs="Arial"/>
              </w:rPr>
            </w:pPr>
            <w:r w:rsidRPr="004415B7">
              <w:rPr>
                <w:rFonts w:cs="Arial"/>
              </w:rPr>
              <w:t>Green</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3EC6396F" w14:textId="77777777">
            <w:pPr>
              <w:spacing w:after="0"/>
              <w:jc w:val="right"/>
              <w:rPr>
                <w:rFonts w:cs="Arial"/>
              </w:rPr>
            </w:pPr>
            <w:r w:rsidRPr="004415B7">
              <w:rPr>
                <w:rFonts w:cs="Arial"/>
              </w:rPr>
              <w:t>17</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55962D44" w14:textId="77777777">
            <w:pPr>
              <w:spacing w:after="0"/>
              <w:jc w:val="right"/>
              <w:rPr>
                <w:rFonts w:cs="Arial"/>
              </w:rPr>
            </w:pPr>
            <w:r w:rsidRPr="004415B7">
              <w:rPr>
                <w:rFonts w:cs="Arial"/>
              </w:rPr>
              <w:t>27</w:t>
            </w:r>
          </w:p>
        </w:tc>
        <w:tc>
          <w:tcPr>
            <w:tcW w:w="1084" w:type="dxa"/>
            <w:tcBorders>
              <w:top w:val="nil"/>
              <w:left w:val="nil"/>
              <w:bottom w:val="single" w:color="000000" w:sz="8" w:space="0"/>
              <w:right w:val="single" w:color="000000" w:sz="8" w:space="0"/>
            </w:tcBorders>
            <w:vAlign w:val="center"/>
          </w:tcPr>
          <w:p w:rsidRPr="004415B7" w:rsidR="003D7A5B" w:rsidP="003D7A5B" w:rsidRDefault="003D7A5B" w14:paraId="7D5370A7" w14:textId="77777777">
            <w:pPr>
              <w:spacing w:after="0"/>
              <w:jc w:val="right"/>
              <w:rPr>
                <w:rFonts w:cs="Arial"/>
              </w:rPr>
            </w:pPr>
            <w:r w:rsidRPr="004415B7">
              <w:rPr>
                <w:rFonts w:cs="Arial"/>
              </w:rPr>
              <w:t>26</w:t>
            </w:r>
          </w:p>
        </w:tc>
        <w:tc>
          <w:tcPr>
            <w:tcW w:w="1115" w:type="dxa"/>
            <w:tcBorders>
              <w:top w:val="nil"/>
              <w:left w:val="nil"/>
              <w:bottom w:val="single" w:color="000000" w:sz="8" w:space="0"/>
              <w:right w:val="single" w:color="000000" w:sz="8" w:space="0"/>
            </w:tcBorders>
            <w:vAlign w:val="center"/>
          </w:tcPr>
          <w:p w:rsidRPr="004415B7" w:rsidR="003D7A5B" w:rsidP="003D7A5B" w:rsidRDefault="003D7A5B" w14:paraId="0515A68A" w14:textId="77777777">
            <w:pPr>
              <w:spacing w:after="0"/>
              <w:jc w:val="right"/>
              <w:rPr>
                <w:rFonts w:cs="Arial"/>
              </w:rPr>
            </w:pPr>
            <w:r w:rsidRPr="004415B7">
              <w:rPr>
                <w:rFonts w:cs="Arial"/>
              </w:rPr>
              <w:t>32</w:t>
            </w:r>
          </w:p>
        </w:tc>
        <w:tc>
          <w:tcPr>
            <w:tcW w:w="1115" w:type="dxa"/>
            <w:tcBorders>
              <w:top w:val="nil"/>
              <w:left w:val="nil"/>
              <w:bottom w:val="single" w:color="000000" w:sz="8" w:space="0"/>
              <w:right w:val="single" w:color="000000" w:sz="8" w:space="0"/>
            </w:tcBorders>
            <w:vAlign w:val="center"/>
          </w:tcPr>
          <w:p w:rsidRPr="004415B7" w:rsidR="003D7A5B" w:rsidP="003D7A5B" w:rsidRDefault="003D7A5B" w14:paraId="0DF9E1CB" w14:textId="4C5AFFF2">
            <w:pPr>
              <w:spacing w:after="0"/>
              <w:jc w:val="right"/>
              <w:rPr>
                <w:rFonts w:cs="Arial"/>
              </w:rPr>
            </w:pPr>
            <w:r w:rsidRPr="004415B7">
              <w:rPr>
                <w:rFonts w:cs="Arial"/>
              </w:rPr>
              <w:t>24</w:t>
            </w:r>
          </w:p>
        </w:tc>
      </w:tr>
      <w:tr w:rsidRPr="004415B7" w:rsidR="00CC4280" w14:paraId="2E627D9E" w14:textId="47B78017">
        <w:trPr>
          <w:trHeight w:val="324"/>
        </w:trPr>
        <w:tc>
          <w:tcPr>
            <w:tcW w:w="2240" w:type="dxa"/>
            <w:tcBorders>
              <w:top w:val="nil"/>
              <w:left w:val="single" w:color="000000" w:sz="8" w:space="0"/>
              <w:bottom w:val="single" w:color="000000" w:sz="8" w:space="0"/>
              <w:right w:val="single" w:color="000000" w:sz="8" w:space="0"/>
            </w:tcBorders>
            <w:shd w:val="clear" w:color="000000" w:fill="D9D9D9"/>
            <w:noWrap/>
            <w:vAlign w:val="center"/>
          </w:tcPr>
          <w:p w:rsidRPr="004415B7" w:rsidR="00CC4280" w:rsidP="00CC4280" w:rsidRDefault="00CC4280" w14:paraId="3F5178AC" w14:textId="77777777">
            <w:pPr>
              <w:spacing w:after="0"/>
              <w:rPr>
                <w:rFonts w:cs="Arial"/>
                <w:b/>
                <w:bCs/>
              </w:rPr>
            </w:pPr>
            <w:r w:rsidRPr="004415B7">
              <w:rPr>
                <w:rFonts w:cs="Arial"/>
                <w:b/>
                <w:bCs/>
              </w:rPr>
              <w:t>Total Risks</w:t>
            </w:r>
          </w:p>
        </w:tc>
        <w:tc>
          <w:tcPr>
            <w:tcW w:w="1084" w:type="dxa"/>
            <w:tcBorders>
              <w:top w:val="nil"/>
              <w:left w:val="nil"/>
              <w:bottom w:val="single" w:color="000000" w:sz="8" w:space="0"/>
              <w:right w:val="single" w:color="000000" w:sz="8" w:space="0"/>
            </w:tcBorders>
            <w:shd w:val="clear" w:color="000000" w:fill="D9D9D9"/>
            <w:vAlign w:val="center"/>
          </w:tcPr>
          <w:p w:rsidRPr="004415B7" w:rsidR="00CC4280" w:rsidP="00CC4280" w:rsidRDefault="00CC4280" w14:paraId="338F23A5" w14:textId="77777777">
            <w:pPr>
              <w:spacing w:after="0"/>
              <w:jc w:val="right"/>
              <w:rPr>
                <w:rFonts w:cs="Arial"/>
                <w:b/>
                <w:bCs/>
              </w:rPr>
            </w:pPr>
            <w:r w:rsidRPr="004415B7">
              <w:rPr>
                <w:rFonts w:cs="Arial"/>
                <w:b/>
                <w:bCs/>
              </w:rPr>
              <w:t>71</w:t>
            </w:r>
          </w:p>
        </w:tc>
        <w:tc>
          <w:tcPr>
            <w:tcW w:w="1084" w:type="dxa"/>
            <w:tcBorders>
              <w:top w:val="nil"/>
              <w:left w:val="nil"/>
              <w:bottom w:val="single" w:color="000000" w:sz="8" w:space="0"/>
              <w:right w:val="single" w:color="000000" w:sz="8" w:space="0"/>
            </w:tcBorders>
            <w:shd w:val="clear" w:color="000000" w:fill="D9D9D9"/>
            <w:vAlign w:val="center"/>
          </w:tcPr>
          <w:p w:rsidRPr="004415B7" w:rsidR="00CC4280" w:rsidP="00CC4280" w:rsidRDefault="00CC4280" w14:paraId="15573D85" w14:textId="77777777">
            <w:pPr>
              <w:spacing w:after="0"/>
              <w:jc w:val="right"/>
              <w:rPr>
                <w:rFonts w:cs="Arial"/>
                <w:b/>
                <w:bCs/>
              </w:rPr>
            </w:pPr>
            <w:r w:rsidRPr="004415B7">
              <w:rPr>
                <w:rFonts w:cs="Arial"/>
                <w:b/>
                <w:bCs/>
              </w:rPr>
              <w:t>81</w:t>
            </w:r>
          </w:p>
        </w:tc>
        <w:tc>
          <w:tcPr>
            <w:tcW w:w="1084" w:type="dxa"/>
            <w:tcBorders>
              <w:top w:val="nil"/>
              <w:left w:val="nil"/>
              <w:bottom w:val="single" w:color="000000" w:sz="8" w:space="0"/>
              <w:right w:val="single" w:color="000000" w:sz="8" w:space="0"/>
            </w:tcBorders>
            <w:shd w:val="clear" w:color="000000" w:fill="D9D9D9"/>
            <w:vAlign w:val="center"/>
          </w:tcPr>
          <w:p w:rsidRPr="004415B7" w:rsidR="00CC4280" w:rsidP="00CC4280" w:rsidRDefault="00CC4280" w14:paraId="4EDFE338" w14:textId="77777777">
            <w:pPr>
              <w:spacing w:after="0"/>
              <w:jc w:val="right"/>
              <w:rPr>
                <w:rFonts w:cs="Arial"/>
                <w:b/>
                <w:bCs/>
              </w:rPr>
            </w:pPr>
            <w:r w:rsidRPr="004415B7">
              <w:rPr>
                <w:rFonts w:cs="Arial"/>
                <w:b/>
                <w:bCs/>
              </w:rPr>
              <w:t>79</w:t>
            </w:r>
          </w:p>
        </w:tc>
        <w:tc>
          <w:tcPr>
            <w:tcW w:w="1115" w:type="dxa"/>
            <w:tcBorders>
              <w:top w:val="nil"/>
              <w:left w:val="nil"/>
              <w:bottom w:val="single" w:color="000000" w:sz="8" w:space="0"/>
              <w:right w:val="single" w:color="000000" w:sz="8" w:space="0"/>
            </w:tcBorders>
            <w:shd w:val="clear" w:color="000000" w:fill="D9D9D9"/>
            <w:vAlign w:val="center"/>
          </w:tcPr>
          <w:p w:rsidRPr="004415B7" w:rsidR="00CC4280" w:rsidP="00CC4280" w:rsidRDefault="00CC4280" w14:paraId="7E1CB541" w14:textId="77777777">
            <w:pPr>
              <w:spacing w:after="0"/>
              <w:jc w:val="right"/>
              <w:rPr>
                <w:rFonts w:cs="Arial"/>
                <w:b/>
                <w:bCs/>
              </w:rPr>
            </w:pPr>
            <w:r w:rsidRPr="004415B7">
              <w:rPr>
                <w:rFonts w:cs="Arial"/>
                <w:b/>
                <w:bCs/>
              </w:rPr>
              <w:t>94</w:t>
            </w:r>
          </w:p>
        </w:tc>
        <w:tc>
          <w:tcPr>
            <w:tcW w:w="1115" w:type="dxa"/>
            <w:tcBorders>
              <w:top w:val="nil"/>
              <w:left w:val="nil"/>
              <w:bottom w:val="single" w:color="000000" w:sz="8" w:space="0"/>
              <w:right w:val="single" w:color="000000" w:sz="8" w:space="0"/>
            </w:tcBorders>
            <w:shd w:val="clear" w:color="000000" w:fill="D9D9D9"/>
            <w:vAlign w:val="center"/>
          </w:tcPr>
          <w:p w:rsidRPr="004415B7" w:rsidR="00CC4280" w:rsidP="00CC4280" w:rsidRDefault="00CC4280" w14:paraId="65B9D5A2" w14:textId="4D6D1592">
            <w:pPr>
              <w:spacing w:after="0"/>
              <w:jc w:val="right"/>
              <w:rPr>
                <w:rFonts w:cs="Arial"/>
                <w:b/>
                <w:bCs/>
              </w:rPr>
            </w:pPr>
            <w:r w:rsidRPr="004415B7">
              <w:rPr>
                <w:rFonts w:cs="Arial"/>
                <w:b/>
                <w:bCs/>
              </w:rPr>
              <w:t>92</w:t>
            </w:r>
          </w:p>
        </w:tc>
      </w:tr>
      <w:tr w:rsidRPr="004415B7" w:rsidR="00F60C42" w:rsidTr="00394633" w14:paraId="402A7B17" w14:textId="3F1AC220">
        <w:trPr>
          <w:trHeight w:val="312"/>
        </w:trPr>
        <w:tc>
          <w:tcPr>
            <w:tcW w:w="2240" w:type="dxa"/>
            <w:tcBorders>
              <w:top w:val="nil"/>
              <w:left w:val="single" w:color="000000" w:sz="8" w:space="0"/>
              <w:bottom w:val="single" w:color="000000" w:sz="8" w:space="0"/>
              <w:right w:val="single" w:color="000000" w:sz="8" w:space="0"/>
            </w:tcBorders>
            <w:noWrap/>
            <w:vAlign w:val="center"/>
          </w:tcPr>
          <w:p w:rsidRPr="004415B7" w:rsidR="00F60C42" w:rsidP="00F60C42" w:rsidRDefault="00F60C42" w14:paraId="1379EBBF" w14:textId="1B82AE7F">
            <w:pPr>
              <w:spacing w:after="0"/>
              <w:rPr>
                <w:rFonts w:cs="Arial"/>
                <w:color w:val="auto"/>
              </w:rPr>
            </w:pPr>
            <w:r w:rsidRPr="004415B7">
              <w:rPr>
                <w:rFonts w:cs="Arial"/>
                <w:color w:val="auto"/>
              </w:rPr>
              <w:t xml:space="preserve">New Risks </w:t>
            </w:r>
          </w:p>
        </w:tc>
        <w:tc>
          <w:tcPr>
            <w:tcW w:w="1084" w:type="dxa"/>
            <w:tcBorders>
              <w:top w:val="nil"/>
              <w:left w:val="nil"/>
              <w:bottom w:val="single" w:color="000000" w:sz="8" w:space="0"/>
              <w:right w:val="single" w:color="000000" w:sz="8" w:space="0"/>
            </w:tcBorders>
            <w:vAlign w:val="center"/>
          </w:tcPr>
          <w:p w:rsidRPr="004415B7" w:rsidR="00F60C42" w:rsidP="00F60C42" w:rsidRDefault="00F60C42" w14:paraId="4755AD97" w14:textId="77777777">
            <w:pPr>
              <w:spacing w:after="0"/>
              <w:jc w:val="right"/>
              <w:rPr>
                <w:rFonts w:cs="Arial"/>
                <w:color w:val="auto"/>
              </w:rPr>
            </w:pPr>
            <w:r w:rsidRPr="004415B7">
              <w:rPr>
                <w:rFonts w:cs="Arial"/>
                <w:color w:val="auto"/>
              </w:rPr>
              <w:t>0</w:t>
            </w:r>
          </w:p>
        </w:tc>
        <w:tc>
          <w:tcPr>
            <w:tcW w:w="1084" w:type="dxa"/>
            <w:tcBorders>
              <w:top w:val="nil"/>
              <w:left w:val="nil"/>
              <w:bottom w:val="single" w:color="000000" w:sz="8" w:space="0"/>
              <w:right w:val="single" w:color="000000" w:sz="8" w:space="0"/>
            </w:tcBorders>
            <w:vAlign w:val="center"/>
          </w:tcPr>
          <w:p w:rsidRPr="004415B7" w:rsidR="00F60C42" w:rsidP="00F60C42" w:rsidRDefault="00F60C42" w14:paraId="3CF16454" w14:textId="77777777">
            <w:pPr>
              <w:spacing w:after="0"/>
              <w:jc w:val="right"/>
              <w:rPr>
                <w:rFonts w:cs="Arial"/>
                <w:color w:val="auto"/>
              </w:rPr>
            </w:pPr>
            <w:r w:rsidRPr="004415B7">
              <w:rPr>
                <w:rFonts w:cs="Arial"/>
                <w:color w:val="auto"/>
              </w:rPr>
              <w:t>10</w:t>
            </w:r>
          </w:p>
        </w:tc>
        <w:tc>
          <w:tcPr>
            <w:tcW w:w="1084" w:type="dxa"/>
            <w:tcBorders>
              <w:top w:val="nil"/>
              <w:left w:val="nil"/>
              <w:bottom w:val="single" w:color="000000" w:sz="8" w:space="0"/>
              <w:right w:val="single" w:color="000000" w:sz="8" w:space="0"/>
            </w:tcBorders>
            <w:vAlign w:val="center"/>
          </w:tcPr>
          <w:p w:rsidRPr="004415B7" w:rsidR="00F60C42" w:rsidP="00F60C42" w:rsidRDefault="00F60C42" w14:paraId="13A2C8A1" w14:textId="77777777">
            <w:pPr>
              <w:spacing w:after="0"/>
              <w:jc w:val="right"/>
              <w:rPr>
                <w:rFonts w:cs="Arial"/>
                <w:color w:val="auto"/>
              </w:rPr>
            </w:pPr>
            <w:r w:rsidRPr="004415B7">
              <w:rPr>
                <w:rFonts w:cs="Arial"/>
                <w:color w:val="auto"/>
              </w:rPr>
              <w:t>0</w:t>
            </w:r>
          </w:p>
        </w:tc>
        <w:tc>
          <w:tcPr>
            <w:tcW w:w="1115" w:type="dxa"/>
            <w:tcBorders>
              <w:top w:val="nil"/>
              <w:left w:val="nil"/>
              <w:bottom w:val="single" w:color="000000" w:sz="8" w:space="0"/>
              <w:right w:val="single" w:color="000000" w:sz="8" w:space="0"/>
            </w:tcBorders>
            <w:vAlign w:val="center"/>
          </w:tcPr>
          <w:p w:rsidRPr="004415B7" w:rsidR="00F60C42" w:rsidP="00F60C42" w:rsidRDefault="00F60C42" w14:paraId="66F7815B" w14:textId="77777777">
            <w:pPr>
              <w:spacing w:after="0"/>
              <w:jc w:val="right"/>
              <w:rPr>
                <w:rFonts w:cs="Arial"/>
                <w:color w:val="auto"/>
              </w:rPr>
            </w:pPr>
            <w:r w:rsidRPr="004415B7">
              <w:rPr>
                <w:rFonts w:cs="Arial"/>
                <w:color w:val="auto"/>
              </w:rPr>
              <w:t>25</w:t>
            </w:r>
          </w:p>
        </w:tc>
        <w:tc>
          <w:tcPr>
            <w:tcW w:w="1115" w:type="dxa"/>
            <w:tcBorders>
              <w:top w:val="nil"/>
              <w:left w:val="nil"/>
              <w:bottom w:val="single" w:color="000000" w:sz="8" w:space="0"/>
              <w:right w:val="single" w:color="000000" w:sz="8" w:space="0"/>
            </w:tcBorders>
            <w:vAlign w:val="center"/>
          </w:tcPr>
          <w:p w:rsidRPr="004415B7" w:rsidR="00F60C42" w:rsidP="00F60C42" w:rsidRDefault="00F60C42" w14:paraId="0096222A" w14:textId="7801EE6F">
            <w:pPr>
              <w:spacing w:after="0"/>
              <w:jc w:val="right"/>
              <w:rPr>
                <w:rFonts w:cs="Arial"/>
                <w:color w:val="auto"/>
              </w:rPr>
            </w:pPr>
            <w:r w:rsidRPr="004415B7">
              <w:rPr>
                <w:rFonts w:cs="Arial"/>
                <w:color w:val="auto"/>
              </w:rPr>
              <w:t>0</w:t>
            </w:r>
          </w:p>
        </w:tc>
      </w:tr>
      <w:tr w:rsidRPr="004415B7" w:rsidR="00F60C42" w:rsidTr="00394633" w14:paraId="52673421" w14:textId="1B8123BA">
        <w:trPr>
          <w:trHeight w:val="312"/>
        </w:trPr>
        <w:tc>
          <w:tcPr>
            <w:tcW w:w="2240" w:type="dxa"/>
            <w:tcBorders>
              <w:top w:val="single" w:color="000000" w:sz="8" w:space="0"/>
              <w:left w:val="single" w:color="000000" w:sz="8" w:space="0"/>
              <w:bottom w:val="single" w:color="auto" w:sz="4" w:space="0"/>
              <w:right w:val="single" w:color="000000" w:sz="8" w:space="0"/>
            </w:tcBorders>
            <w:noWrap/>
            <w:vAlign w:val="center"/>
          </w:tcPr>
          <w:p w:rsidRPr="004415B7" w:rsidR="00F60C42" w:rsidP="00F60C42" w:rsidRDefault="00F60C42" w14:paraId="38C104F0" w14:textId="77777777">
            <w:pPr>
              <w:spacing w:after="0"/>
              <w:rPr>
                <w:rFonts w:cs="Arial"/>
                <w:color w:val="auto"/>
              </w:rPr>
            </w:pPr>
            <w:r w:rsidRPr="004415B7">
              <w:rPr>
                <w:rFonts w:cs="Arial"/>
                <w:color w:val="auto"/>
              </w:rPr>
              <w:t>Closed</w:t>
            </w:r>
          </w:p>
        </w:tc>
        <w:tc>
          <w:tcPr>
            <w:tcW w:w="1084" w:type="dxa"/>
            <w:tcBorders>
              <w:top w:val="single" w:color="000000" w:sz="8" w:space="0"/>
              <w:left w:val="nil"/>
              <w:bottom w:val="single" w:color="auto" w:sz="4" w:space="0"/>
              <w:right w:val="single" w:color="000000" w:sz="8" w:space="0"/>
            </w:tcBorders>
            <w:vAlign w:val="center"/>
          </w:tcPr>
          <w:p w:rsidRPr="004415B7" w:rsidR="00F60C42" w:rsidP="00F60C42" w:rsidRDefault="00F60C42" w14:paraId="5FE72E06" w14:textId="77777777">
            <w:pPr>
              <w:spacing w:after="0"/>
              <w:jc w:val="right"/>
              <w:rPr>
                <w:rFonts w:cs="Arial"/>
                <w:color w:val="auto"/>
              </w:rPr>
            </w:pPr>
            <w:r w:rsidRPr="004415B7">
              <w:rPr>
                <w:rFonts w:cs="Arial"/>
                <w:color w:val="auto"/>
              </w:rPr>
              <w:t>2</w:t>
            </w:r>
          </w:p>
        </w:tc>
        <w:tc>
          <w:tcPr>
            <w:tcW w:w="1084" w:type="dxa"/>
            <w:tcBorders>
              <w:top w:val="single" w:color="000000" w:sz="8" w:space="0"/>
              <w:left w:val="nil"/>
              <w:bottom w:val="single" w:color="auto" w:sz="4" w:space="0"/>
              <w:right w:val="single" w:color="000000" w:sz="8" w:space="0"/>
            </w:tcBorders>
            <w:vAlign w:val="center"/>
          </w:tcPr>
          <w:p w:rsidRPr="004415B7" w:rsidR="00F60C42" w:rsidP="00F60C42" w:rsidRDefault="00F60C42" w14:paraId="42DD76EB" w14:textId="77777777">
            <w:pPr>
              <w:spacing w:after="0"/>
              <w:jc w:val="right"/>
              <w:rPr>
                <w:rFonts w:cs="Arial"/>
                <w:color w:val="auto"/>
              </w:rPr>
            </w:pPr>
            <w:r w:rsidRPr="004415B7">
              <w:rPr>
                <w:rFonts w:cs="Arial"/>
                <w:color w:val="auto"/>
              </w:rPr>
              <w:t>0</w:t>
            </w:r>
          </w:p>
        </w:tc>
        <w:tc>
          <w:tcPr>
            <w:tcW w:w="1084" w:type="dxa"/>
            <w:tcBorders>
              <w:top w:val="single" w:color="000000" w:sz="8" w:space="0"/>
              <w:left w:val="nil"/>
              <w:bottom w:val="single" w:color="auto" w:sz="4" w:space="0"/>
              <w:right w:val="single" w:color="000000" w:sz="8" w:space="0"/>
            </w:tcBorders>
            <w:vAlign w:val="center"/>
          </w:tcPr>
          <w:p w:rsidRPr="004415B7" w:rsidR="00F60C42" w:rsidP="00F60C42" w:rsidRDefault="00F60C42" w14:paraId="4527EDF0" w14:textId="77777777">
            <w:pPr>
              <w:spacing w:after="0"/>
              <w:jc w:val="right"/>
              <w:rPr>
                <w:rFonts w:cs="Arial"/>
                <w:color w:val="auto"/>
              </w:rPr>
            </w:pPr>
            <w:r w:rsidRPr="004415B7">
              <w:rPr>
                <w:rFonts w:cs="Arial"/>
                <w:color w:val="auto"/>
              </w:rPr>
              <w:t>2</w:t>
            </w:r>
          </w:p>
        </w:tc>
        <w:tc>
          <w:tcPr>
            <w:tcW w:w="1115" w:type="dxa"/>
            <w:tcBorders>
              <w:top w:val="single" w:color="000000" w:sz="8" w:space="0"/>
              <w:left w:val="nil"/>
              <w:bottom w:val="single" w:color="auto" w:sz="4" w:space="0"/>
              <w:right w:val="single" w:color="000000" w:sz="8" w:space="0"/>
            </w:tcBorders>
            <w:vAlign w:val="center"/>
          </w:tcPr>
          <w:p w:rsidRPr="004415B7" w:rsidR="00F60C42" w:rsidP="00F60C42" w:rsidRDefault="00F60C42" w14:paraId="27DFDE7D" w14:textId="77777777">
            <w:pPr>
              <w:spacing w:after="0"/>
              <w:jc w:val="right"/>
              <w:rPr>
                <w:rFonts w:cs="Arial"/>
                <w:color w:val="auto"/>
              </w:rPr>
            </w:pPr>
            <w:r w:rsidRPr="004415B7">
              <w:rPr>
                <w:rFonts w:cs="Arial"/>
                <w:color w:val="auto"/>
              </w:rPr>
              <w:t>10</w:t>
            </w:r>
          </w:p>
        </w:tc>
        <w:tc>
          <w:tcPr>
            <w:tcW w:w="1115" w:type="dxa"/>
            <w:tcBorders>
              <w:top w:val="single" w:color="000000" w:sz="8" w:space="0"/>
              <w:left w:val="nil"/>
              <w:bottom w:val="single" w:color="auto" w:sz="4" w:space="0"/>
              <w:right w:val="single" w:color="000000" w:sz="8" w:space="0"/>
            </w:tcBorders>
            <w:vAlign w:val="center"/>
          </w:tcPr>
          <w:p w:rsidRPr="004415B7" w:rsidR="00F60C42" w:rsidP="00F60C42" w:rsidRDefault="00F60C42" w14:paraId="44446552" w14:textId="7B0A00A7">
            <w:pPr>
              <w:spacing w:after="0"/>
              <w:jc w:val="right"/>
              <w:rPr>
                <w:rFonts w:cs="Arial"/>
                <w:color w:val="auto"/>
              </w:rPr>
            </w:pPr>
            <w:r w:rsidRPr="004415B7">
              <w:rPr>
                <w:rFonts w:cs="Arial"/>
                <w:color w:val="auto"/>
              </w:rPr>
              <w:t>2</w:t>
            </w:r>
          </w:p>
        </w:tc>
      </w:tr>
    </w:tbl>
    <w:p w:rsidRPr="00394633" w:rsidR="007B7DE2" w:rsidP="00394633" w:rsidRDefault="007B7DE2" w14:paraId="7CB33C95" w14:textId="77777777">
      <w:pPr>
        <w:ind w:left="284"/>
        <w:rPr>
          <w:color w:val="auto"/>
        </w:rPr>
      </w:pPr>
    </w:p>
    <w:p w:rsidRPr="004415B7" w:rsidR="005727B7" w:rsidP="00992BCC" w:rsidRDefault="00601A34" w14:paraId="3982D467" w14:textId="2C8B7278">
      <w:pPr>
        <w:pStyle w:val="ListParagraph"/>
        <w:numPr>
          <w:ilvl w:val="0"/>
          <w:numId w:val="5"/>
        </w:numPr>
        <w:tabs>
          <w:tab w:val="clear" w:pos="426"/>
        </w:tabs>
        <w:ind w:left="851" w:hanging="567"/>
        <w:rPr>
          <w:color w:val="auto"/>
        </w:rPr>
      </w:pPr>
      <w:r w:rsidRPr="004415B7">
        <w:rPr>
          <w:color w:val="auto"/>
        </w:rPr>
        <w:t xml:space="preserve">The number of red service area risks </w:t>
      </w:r>
      <w:proofErr w:type="gramStart"/>
      <w:r w:rsidRPr="004415B7" w:rsidR="00A51AFF">
        <w:rPr>
          <w:color w:val="auto"/>
        </w:rPr>
        <w:t>at</w:t>
      </w:r>
      <w:proofErr w:type="gramEnd"/>
      <w:r w:rsidRPr="004415B7" w:rsidR="00A51AFF">
        <w:rPr>
          <w:color w:val="auto"/>
        </w:rPr>
        <w:t xml:space="preserve"> 3</w:t>
      </w:r>
      <w:r w:rsidRPr="004415B7" w:rsidR="002E10CB">
        <w:rPr>
          <w:color w:val="auto"/>
        </w:rPr>
        <w:t xml:space="preserve">0 </w:t>
      </w:r>
      <w:r w:rsidRPr="004415B7" w:rsidR="00635C0A">
        <w:rPr>
          <w:color w:val="auto"/>
        </w:rPr>
        <w:t>September</w:t>
      </w:r>
      <w:r w:rsidRPr="004415B7" w:rsidR="002E10CB">
        <w:rPr>
          <w:color w:val="auto"/>
        </w:rPr>
        <w:t xml:space="preserve"> 2025</w:t>
      </w:r>
      <w:r w:rsidRPr="004415B7" w:rsidR="00A51AFF">
        <w:rPr>
          <w:color w:val="auto"/>
        </w:rPr>
        <w:t xml:space="preserve"> </w:t>
      </w:r>
      <w:r w:rsidRPr="004415B7">
        <w:rPr>
          <w:color w:val="auto"/>
        </w:rPr>
        <w:t xml:space="preserve">has </w:t>
      </w:r>
      <w:r w:rsidRPr="004415B7" w:rsidR="00635C0A">
        <w:rPr>
          <w:color w:val="auto"/>
        </w:rPr>
        <w:t>increased f</w:t>
      </w:r>
      <w:r w:rsidRPr="004415B7" w:rsidR="00A51AFF">
        <w:rPr>
          <w:color w:val="auto"/>
        </w:rPr>
        <w:t xml:space="preserve">rom </w:t>
      </w:r>
      <w:r w:rsidRPr="004415B7" w:rsidR="005A47C8">
        <w:rPr>
          <w:color w:val="auto"/>
        </w:rPr>
        <w:t>1</w:t>
      </w:r>
      <w:r w:rsidRPr="004415B7" w:rsidR="00190ADE">
        <w:rPr>
          <w:color w:val="auto"/>
        </w:rPr>
        <w:t>0</w:t>
      </w:r>
      <w:r w:rsidRPr="004415B7" w:rsidR="001B4CD4">
        <w:rPr>
          <w:color w:val="auto"/>
        </w:rPr>
        <w:t xml:space="preserve"> </w:t>
      </w:r>
      <w:r w:rsidRPr="004415B7" w:rsidR="00A51AFF">
        <w:rPr>
          <w:color w:val="auto"/>
        </w:rPr>
        <w:t>to 1</w:t>
      </w:r>
      <w:r w:rsidRPr="004415B7" w:rsidR="00190ADE">
        <w:rPr>
          <w:color w:val="auto"/>
        </w:rPr>
        <w:t>2</w:t>
      </w:r>
      <w:r w:rsidRPr="004415B7" w:rsidR="00A51AFF">
        <w:rPr>
          <w:color w:val="auto"/>
        </w:rPr>
        <w:t xml:space="preserve"> since 3</w:t>
      </w:r>
      <w:r w:rsidRPr="004415B7" w:rsidR="00190ADE">
        <w:rPr>
          <w:color w:val="auto"/>
        </w:rPr>
        <w:t>0 June</w:t>
      </w:r>
      <w:r w:rsidRPr="004415B7" w:rsidR="005727B7">
        <w:rPr>
          <w:color w:val="auto"/>
        </w:rPr>
        <w:t xml:space="preserve"> 2025</w:t>
      </w:r>
      <w:r w:rsidRPr="004415B7">
        <w:rPr>
          <w:color w:val="auto"/>
        </w:rPr>
        <w:t xml:space="preserve">. </w:t>
      </w:r>
      <w:r w:rsidRPr="004415B7" w:rsidR="00992BCC">
        <w:rPr>
          <w:color w:val="auto"/>
        </w:rPr>
        <w:t>Details of the current red service risks are as follows:</w:t>
      </w:r>
    </w:p>
    <w:p w:rsidRPr="004415B7" w:rsidR="00992BCC" w:rsidP="00D32FBB" w:rsidRDefault="00992BCC" w14:paraId="6D4DEDE6" w14:textId="57E6B6BC">
      <w:pPr>
        <w:pStyle w:val="bParagraphtext"/>
        <w:numPr>
          <w:ilvl w:val="0"/>
          <w:numId w:val="6"/>
        </w:numPr>
        <w:tabs>
          <w:tab w:val="clear" w:pos="426"/>
        </w:tabs>
        <w:ind w:left="1276" w:hanging="425"/>
        <w:rPr>
          <w:b/>
          <w:bCs/>
        </w:rPr>
      </w:pPr>
      <w:bookmarkStart w:name="_Hlk153553490" w:id="4"/>
      <w:r w:rsidRPr="004415B7">
        <w:rPr>
          <w:b/>
          <w:bCs/>
        </w:rPr>
        <w:t>Planning - External delays</w:t>
      </w:r>
      <w:r w:rsidRPr="004415B7">
        <w:t xml:space="preserve"> - delays to Council projects arising from external agencies may impact overall Council performance, resulting in missed targets and reduced effectiveness.</w:t>
      </w:r>
    </w:p>
    <w:p w:rsidRPr="004415B7" w:rsidR="00992BCC" w:rsidP="00B93876" w:rsidRDefault="00992BCC" w14:paraId="52EF69C9" w14:textId="49B623F6">
      <w:pPr>
        <w:pStyle w:val="bParagraphtext"/>
        <w:numPr>
          <w:ilvl w:val="0"/>
          <w:numId w:val="6"/>
        </w:numPr>
        <w:tabs>
          <w:tab w:val="clear" w:pos="426"/>
        </w:tabs>
        <w:ind w:left="1276" w:hanging="425"/>
      </w:pPr>
      <w:r w:rsidRPr="004415B7">
        <w:rPr>
          <w:b/>
          <w:bCs/>
        </w:rPr>
        <w:t xml:space="preserve">Planning </w:t>
      </w:r>
      <w:r w:rsidRPr="004415B7">
        <w:t xml:space="preserve">- </w:t>
      </w:r>
      <w:r w:rsidRPr="004415B7" w:rsidR="00B93876">
        <w:t>i</w:t>
      </w:r>
      <w:r w:rsidRPr="004415B7">
        <w:t xml:space="preserve">f Government legislation requiring substantial changes in the planning system results in a need for redesigned processes, then there will be a lack of capacity to meet the changes, and the delivery of local policy objectives will be undermined. </w:t>
      </w:r>
    </w:p>
    <w:p w:rsidRPr="004415B7" w:rsidR="00992BCC" w:rsidP="00D32FBB" w:rsidRDefault="00992BCC" w14:paraId="33153C3E" w14:textId="68F8BAE4">
      <w:pPr>
        <w:pStyle w:val="bParagraphtext"/>
        <w:numPr>
          <w:ilvl w:val="0"/>
          <w:numId w:val="6"/>
        </w:numPr>
        <w:tabs>
          <w:tab w:val="clear" w:pos="426"/>
        </w:tabs>
        <w:ind w:left="1276" w:hanging="425"/>
        <w:rPr>
          <w:b/>
          <w:bCs/>
        </w:rPr>
      </w:pPr>
      <w:r w:rsidRPr="004415B7">
        <w:rPr>
          <w:b/>
          <w:bCs/>
        </w:rPr>
        <w:lastRenderedPageBreak/>
        <w:t>Property and Assets - Quality of data and property knowledge</w:t>
      </w:r>
      <w:r w:rsidRPr="004415B7">
        <w:t xml:space="preserve"> – </w:t>
      </w:r>
      <w:r w:rsidR="00691B03">
        <w:t>f</w:t>
      </w:r>
      <w:r w:rsidRPr="004415B7">
        <w:t>ailure to implement an asset management system capable of storing and analysing data may hinder the Council’s ability to effectively plan and schedule work. This could result in delays to property lettings, difficulties in providing timely insurance information, and increased risk of non-compliance.</w:t>
      </w:r>
    </w:p>
    <w:p w:rsidRPr="004415B7" w:rsidR="00992BCC" w:rsidRDefault="00992BCC" w14:paraId="408C2ADC" w14:textId="45154AE1">
      <w:pPr>
        <w:pStyle w:val="bParagraphtext"/>
        <w:numPr>
          <w:ilvl w:val="0"/>
          <w:numId w:val="6"/>
        </w:numPr>
        <w:tabs>
          <w:tab w:val="clear" w:pos="426"/>
        </w:tabs>
        <w:ind w:left="1276" w:hanging="425"/>
        <w:rPr>
          <w:b/>
          <w:bCs/>
        </w:rPr>
      </w:pPr>
      <w:r w:rsidRPr="004415B7">
        <w:rPr>
          <w:b/>
          <w:bCs/>
        </w:rPr>
        <w:t xml:space="preserve">Law, Governance and Strategy – Resilience of service </w:t>
      </w:r>
      <w:r w:rsidRPr="004415B7">
        <w:t>- an inability to effectively deliver services required by the Council and to deliver critical projects and support statutory and non-statutory functions will have a direct impact on risk, compliance, expenditure, and income to the Council. Furthermore, inadequate staffing and the requirement for expertise in response to major incidents may necessitate increased reliance on external support or lead to operational delays.</w:t>
      </w:r>
    </w:p>
    <w:p w:rsidRPr="004415B7" w:rsidR="002C0CD9" w:rsidP="00F94231" w:rsidRDefault="00B93876" w14:paraId="29EDBD26" w14:textId="2EA13AB1">
      <w:pPr>
        <w:pStyle w:val="bParagraphtext"/>
        <w:numPr>
          <w:ilvl w:val="0"/>
          <w:numId w:val="6"/>
        </w:numPr>
        <w:tabs>
          <w:tab w:val="clear" w:pos="426"/>
        </w:tabs>
        <w:ind w:left="1276" w:hanging="425"/>
      </w:pPr>
      <w:r w:rsidRPr="004415B7">
        <w:rPr>
          <w:b/>
          <w:bCs/>
        </w:rPr>
        <w:t xml:space="preserve">Law, Governance and Strategy </w:t>
      </w:r>
      <w:r w:rsidRPr="004415B7" w:rsidR="00FD0330">
        <w:rPr>
          <w:b/>
          <w:bCs/>
        </w:rPr>
        <w:t>–</w:t>
      </w:r>
      <w:r w:rsidRPr="004415B7" w:rsidR="006C0662">
        <w:rPr>
          <w:b/>
          <w:bCs/>
        </w:rPr>
        <w:t xml:space="preserve"> Income target not achieved</w:t>
      </w:r>
      <w:r w:rsidRPr="004415B7">
        <w:rPr>
          <w:b/>
          <w:bCs/>
        </w:rPr>
        <w:t xml:space="preserve"> </w:t>
      </w:r>
      <w:r w:rsidRPr="004415B7">
        <w:t xml:space="preserve">- </w:t>
      </w:r>
      <w:bookmarkStart w:name="_Hlk181183914" w:id="5"/>
      <w:r w:rsidRPr="004415B7" w:rsidR="00F94231">
        <w:t>i</w:t>
      </w:r>
      <w:r w:rsidRPr="004415B7" w:rsidR="002C0CD9">
        <w:t xml:space="preserve">f the income target is not achieved, additional pressure will be placed on the overall legal services budget, leading to an </w:t>
      </w:r>
      <w:r w:rsidRPr="004415B7" w:rsidR="00F94231">
        <w:t>overspend.</w:t>
      </w:r>
    </w:p>
    <w:p w:rsidRPr="004415B7" w:rsidR="00B93876" w:rsidP="00463D58" w:rsidRDefault="00B93876" w14:paraId="0EF93F4D" w14:textId="45C10D20">
      <w:pPr>
        <w:pStyle w:val="bParagraphtext"/>
        <w:numPr>
          <w:ilvl w:val="0"/>
          <w:numId w:val="6"/>
        </w:numPr>
        <w:tabs>
          <w:tab w:val="clear" w:pos="426"/>
        </w:tabs>
        <w:ind w:left="1276" w:hanging="425"/>
      </w:pPr>
      <w:r w:rsidRPr="004415B7">
        <w:rPr>
          <w:b/>
          <w:bCs/>
        </w:rPr>
        <w:t xml:space="preserve">Law, Governance and Strategy </w:t>
      </w:r>
      <w:r w:rsidRPr="004415B7">
        <w:t>- the use of the budget is reactive and therefore, as unexpected corporate issues arise, external legal costs increase, which will lead to an overspend on the legal services budget, and potentially pressure on other service area budgets as they may need to fund work.</w:t>
      </w:r>
    </w:p>
    <w:p w:rsidRPr="004415B7" w:rsidR="00D379F5" w:rsidP="00D379F5" w:rsidRDefault="00463D58" w14:paraId="76B58269" w14:textId="7C7A8F75">
      <w:pPr>
        <w:pStyle w:val="bParagraphtext"/>
        <w:numPr>
          <w:ilvl w:val="0"/>
          <w:numId w:val="6"/>
        </w:numPr>
        <w:tabs>
          <w:tab w:val="clear" w:pos="426"/>
        </w:tabs>
        <w:ind w:left="1276" w:hanging="425"/>
      </w:pPr>
      <w:r w:rsidRPr="004415B7">
        <w:rPr>
          <w:b/>
          <w:bCs/>
        </w:rPr>
        <w:t xml:space="preserve">Law, Governance and Strategy </w:t>
      </w:r>
      <w:r w:rsidRPr="004415B7">
        <w:t xml:space="preserve">- </w:t>
      </w:r>
      <w:r w:rsidRPr="004415B7" w:rsidR="00D379F5">
        <w:t>if the Council’s departments and suppliers do not safeguard data there is a risk of a data protection breach and non-compliance</w:t>
      </w:r>
    </w:p>
    <w:p w:rsidRPr="004415B7" w:rsidR="00B93876" w:rsidRDefault="00B93876" w14:paraId="30BDBA08" w14:textId="29E89A19">
      <w:pPr>
        <w:pStyle w:val="bParagraphtext"/>
        <w:numPr>
          <w:ilvl w:val="0"/>
          <w:numId w:val="6"/>
        </w:numPr>
        <w:tabs>
          <w:tab w:val="clear" w:pos="426"/>
        </w:tabs>
        <w:ind w:left="1276" w:hanging="425"/>
        <w:rPr>
          <w:b/>
          <w:bCs/>
        </w:rPr>
      </w:pPr>
      <w:r w:rsidRPr="004415B7">
        <w:rPr>
          <w:b/>
          <w:bCs/>
        </w:rPr>
        <w:t>Property Assets</w:t>
      </w:r>
      <w:r w:rsidRPr="004415B7">
        <w:t xml:space="preserve"> - </w:t>
      </w:r>
      <w:r w:rsidR="00691B03">
        <w:t>i</w:t>
      </w:r>
      <w:r w:rsidRPr="004415B7">
        <w:t>f there is a lack of legal support, the Council will be unable to meet income, capital receipt, and project targets. Alternatively, external legal spend will be more costly and will result in an increase in financial pressure.</w:t>
      </w:r>
    </w:p>
    <w:p w:rsidRPr="004415B7" w:rsidR="00537590" w:rsidP="00BA46FF" w:rsidRDefault="001119AC" w14:paraId="5C3E35F7" w14:textId="7423E3A5">
      <w:pPr>
        <w:pStyle w:val="bParagraphtext"/>
        <w:numPr>
          <w:ilvl w:val="0"/>
          <w:numId w:val="6"/>
        </w:numPr>
        <w:tabs>
          <w:tab w:val="clear" w:pos="426"/>
        </w:tabs>
        <w:ind w:left="1276" w:hanging="425"/>
      </w:pPr>
      <w:r w:rsidRPr="004415B7">
        <w:rPr>
          <w:b/>
          <w:bCs/>
        </w:rPr>
        <w:t xml:space="preserve">Housing </w:t>
      </w:r>
      <w:r w:rsidRPr="004415B7">
        <w:t>- if tenant involvement governance arrangements and activities are not fit for purpose and do not allow the tenant’s voice to be heard, then the Council will fail</w:t>
      </w:r>
      <w:r w:rsidRPr="004415B7" w:rsidR="00BA46FF">
        <w:t xml:space="preserve"> </w:t>
      </w:r>
      <w:r w:rsidRPr="004415B7">
        <w:t>to meet its responsibilities under the Social Housing (Regulation) Act</w:t>
      </w:r>
      <w:r w:rsidR="00A3508E">
        <w:t xml:space="preserve"> 2023</w:t>
      </w:r>
      <w:r w:rsidRPr="004415B7">
        <w:t>.</w:t>
      </w:r>
    </w:p>
    <w:p w:rsidRPr="004415B7" w:rsidR="00BA46FF" w:rsidP="00B3433C" w:rsidRDefault="00BA46FF" w14:paraId="0F405DAF" w14:textId="59556167">
      <w:pPr>
        <w:pStyle w:val="bParagraphtext"/>
        <w:numPr>
          <w:ilvl w:val="0"/>
          <w:numId w:val="6"/>
        </w:numPr>
        <w:tabs>
          <w:tab w:val="clear" w:pos="426"/>
        </w:tabs>
        <w:ind w:left="1276" w:hanging="425"/>
      </w:pPr>
      <w:r w:rsidRPr="004415B7">
        <w:rPr>
          <w:b/>
          <w:bCs/>
        </w:rPr>
        <w:t xml:space="preserve">Housing </w:t>
      </w:r>
      <w:r w:rsidRPr="004415B7">
        <w:t xml:space="preserve">- </w:t>
      </w:r>
      <w:r w:rsidRPr="004415B7" w:rsidR="00B3433C">
        <w:t>a failure to evidence the implementation of and adherence to the social housing regulator’s consumer standards across housing may result in a C3 grading following inspection</w:t>
      </w:r>
      <w:r w:rsidRPr="004415B7">
        <w:t>.</w:t>
      </w:r>
    </w:p>
    <w:p w:rsidRPr="004415B7" w:rsidR="00BA46FF" w:rsidP="009E156C" w:rsidRDefault="00A34FA6" w14:paraId="796E7222" w14:textId="1DE95DB8">
      <w:pPr>
        <w:pStyle w:val="bParagraphtext"/>
        <w:numPr>
          <w:ilvl w:val="0"/>
          <w:numId w:val="6"/>
        </w:numPr>
        <w:tabs>
          <w:tab w:val="clear" w:pos="426"/>
        </w:tabs>
        <w:ind w:left="1276" w:hanging="425"/>
      </w:pPr>
      <w:r w:rsidRPr="004415B7">
        <w:rPr>
          <w:b/>
          <w:bCs/>
        </w:rPr>
        <w:t xml:space="preserve">Communities and Citizen Services </w:t>
      </w:r>
      <w:r w:rsidRPr="004415B7">
        <w:t>-</w:t>
      </w:r>
      <w:r w:rsidRPr="004415B7" w:rsidR="009E156C">
        <w:t xml:space="preserve"> an ongoing contract management and partnership approach to the external leisure provision contract, to ensure stability with its financial performance.</w:t>
      </w:r>
      <w:r w:rsidRPr="004415B7">
        <w:t xml:space="preserve"> </w:t>
      </w:r>
    </w:p>
    <w:p w:rsidRPr="004415B7" w:rsidR="00B93876" w:rsidRDefault="00B93876" w14:paraId="61BA6CD5" w14:textId="2FE16C42">
      <w:pPr>
        <w:pStyle w:val="bParagraphtext"/>
        <w:numPr>
          <w:ilvl w:val="0"/>
          <w:numId w:val="6"/>
        </w:numPr>
        <w:tabs>
          <w:tab w:val="clear" w:pos="426"/>
        </w:tabs>
        <w:ind w:left="1276" w:hanging="425"/>
        <w:rPr>
          <w:b/>
          <w:bCs/>
        </w:rPr>
      </w:pPr>
      <w:r w:rsidRPr="004415B7">
        <w:rPr>
          <w:b/>
          <w:bCs/>
        </w:rPr>
        <w:t xml:space="preserve">Communities and Citizen Services - </w:t>
      </w:r>
      <w:r w:rsidRPr="004415B7" w:rsidR="000B7FCE">
        <w:rPr>
          <w:b/>
          <w:bCs/>
        </w:rPr>
        <w:t>Financial savings from community centres</w:t>
      </w:r>
      <w:r w:rsidRPr="004415B7" w:rsidR="00731A81">
        <w:t xml:space="preserve"> - f</w:t>
      </w:r>
      <w:r w:rsidRPr="004415B7">
        <w:t>ailure to achieve the necessary savings may result in financial pressure on the Council and/or a decline in the quality of services delivered, as cost-cutting measures may need to be implemented.</w:t>
      </w:r>
    </w:p>
    <w:bookmarkEnd w:id="4"/>
    <w:bookmarkEnd w:id="5"/>
    <w:p w:rsidRPr="004415B7" w:rsidR="006D583C" w:rsidP="006D583C" w:rsidRDefault="006D583C" w14:paraId="46F0ED8B" w14:textId="77777777">
      <w:pPr>
        <w:pStyle w:val="Heading1"/>
        <w:rPr>
          <w:color w:val="auto"/>
        </w:rPr>
      </w:pPr>
      <w:r w:rsidRPr="004415B7">
        <w:rPr>
          <w:color w:val="auto"/>
        </w:rPr>
        <w:t>Financial implications</w:t>
      </w:r>
    </w:p>
    <w:p w:rsidRPr="004415B7" w:rsidR="004F260A" w:rsidP="00B37A6D" w:rsidRDefault="0BAE341F" w14:paraId="23D5D56C" w14:textId="1962228B">
      <w:pPr>
        <w:pStyle w:val="ListParagraph"/>
        <w:numPr>
          <w:ilvl w:val="0"/>
          <w:numId w:val="5"/>
        </w:numPr>
        <w:tabs>
          <w:tab w:val="clear" w:pos="426"/>
        </w:tabs>
        <w:ind w:hanging="502"/>
        <w:rPr>
          <w:color w:val="auto"/>
        </w:rPr>
      </w:pPr>
      <w:r w:rsidRPr="004415B7">
        <w:rPr>
          <w:color w:val="auto"/>
        </w:rPr>
        <w:t>All financial implications are covered in the body of this report and the Appendices</w:t>
      </w:r>
      <w:r w:rsidRPr="004415B7" w:rsidR="105F655E">
        <w:rPr>
          <w:color w:val="auto"/>
        </w:rPr>
        <w:t>.</w:t>
      </w:r>
    </w:p>
    <w:p w:rsidRPr="004415B7" w:rsidR="0040736F" w:rsidP="004A6D2F" w:rsidRDefault="00DA614B" w14:paraId="5D696799" w14:textId="77777777">
      <w:pPr>
        <w:pStyle w:val="Heading1"/>
        <w:rPr>
          <w:color w:val="auto"/>
        </w:rPr>
      </w:pPr>
      <w:r w:rsidRPr="004415B7">
        <w:rPr>
          <w:color w:val="auto"/>
        </w:rPr>
        <w:lastRenderedPageBreak/>
        <w:t>Legal issues</w:t>
      </w:r>
    </w:p>
    <w:p w:rsidRPr="004415B7" w:rsidR="00E87F7A" w:rsidP="00B37A6D" w:rsidRDefault="23567AEC" w14:paraId="2FB850D8" w14:textId="0A21177F">
      <w:pPr>
        <w:pStyle w:val="ListParagraph"/>
        <w:numPr>
          <w:ilvl w:val="0"/>
          <w:numId w:val="5"/>
        </w:numPr>
        <w:tabs>
          <w:tab w:val="clear" w:pos="426"/>
        </w:tabs>
        <w:ind w:hanging="502"/>
        <w:rPr>
          <w:color w:val="auto"/>
        </w:rPr>
      </w:pPr>
      <w:r w:rsidRPr="004415B7">
        <w:rPr>
          <w:color w:val="auto"/>
        </w:rPr>
        <w:t xml:space="preserve">There are no legal implications </w:t>
      </w:r>
      <w:r w:rsidRPr="004415B7" w:rsidR="00D04C25">
        <w:rPr>
          <w:color w:val="auto"/>
        </w:rPr>
        <w:t xml:space="preserve">arising </w:t>
      </w:r>
      <w:r w:rsidRPr="004415B7">
        <w:rPr>
          <w:color w:val="auto"/>
        </w:rPr>
        <w:t xml:space="preserve">directly </w:t>
      </w:r>
      <w:r w:rsidRPr="004415B7" w:rsidR="00D04C25">
        <w:rPr>
          <w:color w:val="auto"/>
        </w:rPr>
        <w:t>from</w:t>
      </w:r>
      <w:r w:rsidRPr="004415B7">
        <w:rPr>
          <w:color w:val="auto"/>
        </w:rPr>
        <w:t xml:space="preserve"> this report</w:t>
      </w:r>
      <w:r w:rsidRPr="004415B7" w:rsidR="1EE867A8">
        <w:rPr>
          <w:color w:val="auto"/>
        </w:rPr>
        <w:t>.</w:t>
      </w:r>
    </w:p>
    <w:p w:rsidRPr="004415B7" w:rsidR="00BC69A4" w:rsidP="3DF339A6" w:rsidRDefault="002329CF" w14:paraId="6A5BD3B3" w14:textId="7B233BB4">
      <w:pPr>
        <w:pStyle w:val="Heading1"/>
        <w:rPr>
          <w:color w:val="auto"/>
        </w:rPr>
      </w:pPr>
      <w:r w:rsidRPr="004415B7">
        <w:rPr>
          <w:color w:val="auto"/>
        </w:rPr>
        <w:t>Level of risk</w:t>
      </w:r>
    </w:p>
    <w:p w:rsidRPr="004415B7" w:rsidR="00BC69A4" w:rsidP="00B37A6D" w:rsidRDefault="23567AEC" w14:paraId="68EDCF47" w14:textId="4097C01F">
      <w:pPr>
        <w:pStyle w:val="Heading1"/>
        <w:numPr>
          <w:ilvl w:val="0"/>
          <w:numId w:val="5"/>
        </w:numPr>
        <w:ind w:hanging="502"/>
        <w:rPr>
          <w:b w:val="0"/>
          <w:color w:val="auto"/>
        </w:rPr>
      </w:pPr>
      <w:r w:rsidRPr="004415B7">
        <w:rPr>
          <w:b w:val="0"/>
          <w:color w:val="auto"/>
        </w:rPr>
        <w:t>All risk implications are covered in the body of this report and the Appendices.</w:t>
      </w:r>
    </w:p>
    <w:p w:rsidRPr="004415B7" w:rsidR="002329CF" w:rsidP="0050321C" w:rsidRDefault="002329CF" w14:paraId="0635CA09" w14:textId="77777777">
      <w:pPr>
        <w:pStyle w:val="Heading1"/>
        <w:rPr>
          <w:color w:val="auto"/>
        </w:rPr>
      </w:pPr>
      <w:r w:rsidRPr="004415B7">
        <w:rPr>
          <w:color w:val="auto"/>
        </w:rPr>
        <w:t xml:space="preserve">Equalities impact </w:t>
      </w:r>
    </w:p>
    <w:p w:rsidRPr="004415B7" w:rsidR="00E206D6" w:rsidP="00B37A6D" w:rsidRDefault="23567AEC" w14:paraId="58947CAE" w14:textId="6F3C177D">
      <w:pPr>
        <w:pStyle w:val="ListParagraph"/>
        <w:numPr>
          <w:ilvl w:val="0"/>
          <w:numId w:val="5"/>
        </w:numPr>
        <w:tabs>
          <w:tab w:val="clear" w:pos="426"/>
        </w:tabs>
        <w:ind w:hanging="502"/>
        <w:rPr>
          <w:color w:val="auto"/>
        </w:rPr>
      </w:pPr>
      <w:r w:rsidRPr="004415B7">
        <w:rPr>
          <w:color w:val="auto"/>
        </w:rPr>
        <w:t>There are no equalities impacts arising directly from this report.</w:t>
      </w:r>
    </w:p>
    <w:p w:rsidRPr="004415B7" w:rsidR="005E11ED" w:rsidRDefault="005E11ED" w14:paraId="53800F01" w14:textId="2E1B453E">
      <w:pPr>
        <w:spacing w:after="0"/>
        <w:rPr>
          <w:color w:val="auto"/>
        </w:rPr>
      </w:pPr>
    </w:p>
    <w:p w:rsidRPr="004415B7" w:rsidR="002116EC" w:rsidP="004A6D2F" w:rsidRDefault="002116EC" w14:paraId="401DE13A" w14:textId="77777777">
      <w:pPr>
        <w:rPr>
          <w:color w:val="FF0000"/>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4415B7" w:rsidR="004E0E5B" w:rsidTr="197BAE22" w14:paraId="3F3F1C2B" w14:textId="77777777">
        <w:trPr>
          <w:cantSplit/>
          <w:trHeight w:val="396"/>
        </w:trPr>
        <w:tc>
          <w:tcPr>
            <w:tcW w:w="3969" w:type="dxa"/>
            <w:tcBorders>
              <w:top w:val="single" w:color="000000" w:themeColor="text1" w:sz="8" w:space="0"/>
              <w:left w:val="single" w:color="000000" w:themeColor="text1" w:sz="8" w:space="0"/>
              <w:bottom w:val="single" w:color="000000" w:themeColor="text1" w:sz="8" w:space="0"/>
              <w:right w:val="nil"/>
            </w:tcBorders>
          </w:tcPr>
          <w:p w:rsidRPr="004415B7" w:rsidR="00E87F7A" w:rsidP="00A46E98" w:rsidRDefault="00E87F7A" w14:paraId="72CC7380" w14:textId="642CAF65">
            <w:pPr>
              <w:rPr>
                <w:b/>
                <w:color w:val="auto"/>
              </w:rPr>
            </w:pPr>
            <w:r w:rsidRPr="004415B7">
              <w:rPr>
                <w:b/>
                <w:color w:val="auto"/>
              </w:rPr>
              <w:t>Report autho</w:t>
            </w:r>
            <w:r w:rsidRPr="004415B7" w:rsidR="00BC1A47">
              <w:rPr>
                <w:b/>
                <w:color w:val="auto"/>
              </w:rPr>
              <w:t>r</w:t>
            </w:r>
          </w:p>
        </w:tc>
        <w:tc>
          <w:tcPr>
            <w:tcW w:w="4962" w:type="dxa"/>
            <w:tcBorders>
              <w:top w:val="single" w:color="000000" w:themeColor="text1" w:sz="8" w:space="0"/>
              <w:left w:val="nil"/>
              <w:bottom w:val="single" w:color="000000" w:themeColor="text1" w:sz="8" w:space="0"/>
              <w:right w:val="single" w:color="000000" w:themeColor="text1" w:sz="8" w:space="0"/>
            </w:tcBorders>
          </w:tcPr>
          <w:p w:rsidRPr="004415B7" w:rsidR="00256350" w:rsidP="00256350" w:rsidRDefault="00BB3BC1" w14:paraId="1A4E0C6B" w14:textId="4641E254">
            <w:pPr>
              <w:rPr>
                <w:color w:val="auto"/>
              </w:rPr>
            </w:pPr>
            <w:r w:rsidRPr="004415B7">
              <w:rPr>
                <w:color w:val="auto"/>
              </w:rPr>
              <w:t>Clare Paterson</w:t>
            </w:r>
          </w:p>
        </w:tc>
      </w:tr>
      <w:tr w:rsidRPr="004415B7" w:rsidR="004E0E5B" w:rsidTr="197BAE22" w14:paraId="074DE641" w14:textId="77777777">
        <w:trPr>
          <w:cantSplit/>
          <w:trHeight w:val="396"/>
        </w:trPr>
        <w:tc>
          <w:tcPr>
            <w:tcW w:w="3969" w:type="dxa"/>
            <w:tcBorders>
              <w:top w:val="single" w:color="000000" w:themeColor="text1" w:sz="8" w:space="0"/>
              <w:left w:val="single" w:color="000000" w:themeColor="text1" w:sz="8" w:space="0"/>
              <w:bottom w:val="nil"/>
              <w:right w:val="nil"/>
            </w:tcBorders>
          </w:tcPr>
          <w:p w:rsidRPr="004415B7" w:rsidR="00E87F7A" w:rsidP="00A46E98" w:rsidRDefault="00E87F7A" w14:paraId="73287968" w14:textId="77777777">
            <w:pPr>
              <w:rPr>
                <w:color w:val="auto"/>
              </w:rPr>
            </w:pPr>
            <w:r w:rsidRPr="004415B7">
              <w:rPr>
                <w:color w:val="auto"/>
              </w:rPr>
              <w:t>Job title</w:t>
            </w:r>
          </w:p>
        </w:tc>
        <w:tc>
          <w:tcPr>
            <w:tcW w:w="4962" w:type="dxa"/>
            <w:tcBorders>
              <w:top w:val="single" w:color="000000" w:themeColor="text1" w:sz="8" w:space="0"/>
              <w:left w:val="nil"/>
              <w:bottom w:val="nil"/>
              <w:right w:val="single" w:color="000000" w:themeColor="text1" w:sz="8" w:space="0"/>
            </w:tcBorders>
          </w:tcPr>
          <w:p w:rsidRPr="004415B7" w:rsidR="00256350" w:rsidP="007A64CE" w:rsidRDefault="00BB3BC1" w14:paraId="42FD37AE" w14:textId="629A4D09">
            <w:pPr>
              <w:rPr>
                <w:color w:val="auto"/>
              </w:rPr>
            </w:pPr>
            <w:r w:rsidRPr="004415B7">
              <w:rPr>
                <w:color w:val="auto"/>
              </w:rPr>
              <w:t>Strategic Finance Manager</w:t>
            </w:r>
          </w:p>
        </w:tc>
      </w:tr>
      <w:tr w:rsidRPr="004415B7" w:rsidR="004E0E5B" w:rsidTr="197BAE22" w14:paraId="678C66FC" w14:textId="77777777">
        <w:trPr>
          <w:cantSplit/>
          <w:trHeight w:val="396"/>
        </w:trPr>
        <w:tc>
          <w:tcPr>
            <w:tcW w:w="3969" w:type="dxa"/>
            <w:tcBorders>
              <w:top w:val="nil"/>
              <w:left w:val="single" w:color="000000" w:themeColor="text1" w:sz="8" w:space="0"/>
              <w:bottom w:val="nil"/>
              <w:right w:val="nil"/>
            </w:tcBorders>
          </w:tcPr>
          <w:p w:rsidRPr="004415B7" w:rsidR="00E87F7A" w:rsidP="00A46E98" w:rsidRDefault="00E87F7A" w14:paraId="52870F7F" w14:textId="77777777">
            <w:pPr>
              <w:rPr>
                <w:color w:val="auto"/>
              </w:rPr>
            </w:pPr>
            <w:r w:rsidRPr="004415B7">
              <w:rPr>
                <w:color w:val="auto"/>
              </w:rPr>
              <w:t>Service area or department</w:t>
            </w:r>
          </w:p>
        </w:tc>
        <w:tc>
          <w:tcPr>
            <w:tcW w:w="4962" w:type="dxa"/>
            <w:tcBorders>
              <w:top w:val="nil"/>
              <w:left w:val="nil"/>
              <w:bottom w:val="nil"/>
              <w:right w:val="single" w:color="000000" w:themeColor="text1" w:sz="8" w:space="0"/>
            </w:tcBorders>
          </w:tcPr>
          <w:p w:rsidRPr="004415B7" w:rsidR="00E87F7A" w:rsidP="004E0E5B" w:rsidRDefault="00256350" w14:paraId="226A6AB5" w14:textId="018AA793">
            <w:pPr>
              <w:rPr>
                <w:color w:val="auto"/>
              </w:rPr>
            </w:pPr>
            <w:r w:rsidRPr="004415B7">
              <w:rPr>
                <w:color w:val="auto"/>
              </w:rPr>
              <w:t>Financial Services</w:t>
            </w:r>
          </w:p>
        </w:tc>
      </w:tr>
      <w:tr w:rsidRPr="004415B7" w:rsidR="004E0E5B" w:rsidTr="197BAE22" w14:paraId="0FC83DD0" w14:textId="77777777">
        <w:trPr>
          <w:cantSplit/>
          <w:trHeight w:val="396"/>
        </w:trPr>
        <w:tc>
          <w:tcPr>
            <w:tcW w:w="3969" w:type="dxa"/>
            <w:tcBorders>
              <w:top w:val="nil"/>
              <w:left w:val="single" w:color="000000" w:themeColor="text1" w:sz="8" w:space="0"/>
              <w:bottom w:val="nil"/>
              <w:right w:val="nil"/>
            </w:tcBorders>
          </w:tcPr>
          <w:p w:rsidRPr="004415B7" w:rsidR="00E87F7A" w:rsidP="00A46E98" w:rsidRDefault="00E87F7A" w14:paraId="1057CB75" w14:textId="77777777">
            <w:pPr>
              <w:rPr>
                <w:color w:val="auto"/>
              </w:rPr>
            </w:pPr>
            <w:r w:rsidRPr="004415B7">
              <w:rPr>
                <w:color w:val="auto"/>
              </w:rPr>
              <w:t xml:space="preserve">Telephone </w:t>
            </w:r>
          </w:p>
        </w:tc>
        <w:tc>
          <w:tcPr>
            <w:tcW w:w="4962" w:type="dxa"/>
            <w:tcBorders>
              <w:top w:val="nil"/>
              <w:left w:val="nil"/>
              <w:bottom w:val="nil"/>
              <w:right w:val="single" w:color="000000" w:themeColor="text1" w:sz="8" w:space="0"/>
            </w:tcBorders>
          </w:tcPr>
          <w:p w:rsidRPr="004415B7" w:rsidR="00E87F7A" w:rsidP="00256350" w:rsidRDefault="00E71B33" w14:paraId="13250F4A" w14:textId="64C2EEE2">
            <w:pPr>
              <w:rPr>
                <w:color w:val="auto"/>
              </w:rPr>
            </w:pPr>
            <w:r w:rsidRPr="004415B7">
              <w:rPr>
                <w:color w:val="auto"/>
              </w:rPr>
              <w:t xml:space="preserve">01865 </w:t>
            </w:r>
            <w:r w:rsidRPr="004415B7" w:rsidR="002C65A7">
              <w:rPr>
                <w:color w:val="auto"/>
              </w:rPr>
              <w:t>252</w:t>
            </w:r>
            <w:r w:rsidRPr="004415B7" w:rsidR="00BB3BC1">
              <w:rPr>
                <w:color w:val="auto"/>
              </w:rPr>
              <w:t>442</w:t>
            </w:r>
          </w:p>
        </w:tc>
      </w:tr>
      <w:tr w:rsidRPr="004415B7" w:rsidR="004E0E5B" w:rsidTr="197BAE22" w14:paraId="0BA42F9E" w14:textId="77777777">
        <w:trPr>
          <w:cantSplit/>
          <w:trHeight w:val="396"/>
        </w:trPr>
        <w:tc>
          <w:tcPr>
            <w:tcW w:w="3969" w:type="dxa"/>
            <w:tcBorders>
              <w:top w:val="nil"/>
              <w:left w:val="single" w:color="000000" w:themeColor="text1" w:sz="8" w:space="0"/>
              <w:bottom w:val="single" w:color="000000" w:themeColor="text1" w:sz="8" w:space="0"/>
              <w:right w:val="nil"/>
            </w:tcBorders>
          </w:tcPr>
          <w:p w:rsidRPr="004415B7" w:rsidR="00E87F7A" w:rsidP="00A46E98" w:rsidRDefault="00E87F7A" w14:paraId="0FF80352" w14:textId="77777777">
            <w:pPr>
              <w:rPr>
                <w:color w:val="auto"/>
              </w:rPr>
            </w:pPr>
            <w:r w:rsidRPr="004415B7">
              <w:rPr>
                <w:color w:val="auto"/>
              </w:rPr>
              <w:t xml:space="preserve">e-mail </w:t>
            </w:r>
          </w:p>
        </w:tc>
        <w:tc>
          <w:tcPr>
            <w:tcW w:w="4962" w:type="dxa"/>
            <w:tcBorders>
              <w:top w:val="nil"/>
              <w:left w:val="nil"/>
              <w:bottom w:val="single" w:color="000000" w:themeColor="text1" w:sz="8" w:space="0"/>
              <w:right w:val="single" w:color="000000" w:themeColor="text1" w:sz="8" w:space="0"/>
            </w:tcBorders>
          </w:tcPr>
          <w:p w:rsidRPr="004415B7" w:rsidR="00E87F7A" w:rsidP="004E0E5B" w:rsidRDefault="00BB3BC1" w14:paraId="38A42174" w14:textId="1CAC3506">
            <w:pPr>
              <w:rPr>
                <w:rStyle w:val="Hyperlink"/>
                <w:color w:val="auto"/>
              </w:rPr>
            </w:pPr>
            <w:r w:rsidRPr="004415B7">
              <w:rPr>
                <w:rStyle w:val="Hyperlink"/>
                <w:color w:val="000000" w:themeColor="text1"/>
              </w:rPr>
              <w:t>cpaterson</w:t>
            </w:r>
            <w:r w:rsidRPr="004415B7" w:rsidR="002C65A7">
              <w:rPr>
                <w:rStyle w:val="Hyperlink"/>
                <w:color w:val="auto"/>
              </w:rPr>
              <w:t>@oxford.gov.uk</w:t>
            </w:r>
          </w:p>
        </w:tc>
      </w:tr>
    </w:tbl>
    <w:p w:rsidRPr="004415B7" w:rsidR="00433B96" w:rsidP="004A6D2F" w:rsidRDefault="00433B96" w14:paraId="34C37706" w14:textId="77777777">
      <w:pPr>
        <w:rPr>
          <w:color w:val="FF000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4415B7" w:rsidR="004E0E5B" w:rsidTr="00A46E98" w14:paraId="7B844727" w14:textId="77777777">
        <w:tc>
          <w:tcPr>
            <w:tcW w:w="8931" w:type="dxa"/>
            <w:tcBorders>
              <w:top w:val="single" w:color="auto" w:sz="4" w:space="0"/>
              <w:left w:val="single" w:color="auto" w:sz="4" w:space="0"/>
              <w:bottom w:val="single" w:color="000000" w:sz="8" w:space="0"/>
              <w:right w:val="single" w:color="auto" w:sz="4" w:space="0"/>
            </w:tcBorders>
          </w:tcPr>
          <w:p w:rsidRPr="004415B7" w:rsidR="0093067A" w:rsidP="00F41AC1" w:rsidRDefault="00182B81" w14:paraId="49B9E49D" w14:textId="7767CD92">
            <w:pPr>
              <w:rPr>
                <w:color w:val="auto"/>
              </w:rPr>
            </w:pPr>
            <w:r w:rsidRPr="004415B7">
              <w:rPr>
                <w:rStyle w:val="Firstpagetablebold"/>
                <w:color w:val="auto"/>
              </w:rPr>
              <w:t xml:space="preserve">Background Papers: </w:t>
            </w:r>
            <w:r w:rsidRPr="004415B7" w:rsidR="009A32CA">
              <w:rPr>
                <w:rStyle w:val="Firstpagetablebold"/>
                <w:b w:val="0"/>
                <w:color w:val="auto"/>
              </w:rPr>
              <w:t xml:space="preserve">‘Risk Management Reporting </w:t>
            </w:r>
            <w:proofErr w:type="gramStart"/>
            <w:r w:rsidRPr="004415B7" w:rsidR="009A32CA">
              <w:rPr>
                <w:rStyle w:val="Firstpagetablebold"/>
                <w:b w:val="0"/>
                <w:color w:val="auto"/>
              </w:rPr>
              <w:t>at</w:t>
            </w:r>
            <w:proofErr w:type="gramEnd"/>
            <w:r w:rsidRPr="004415B7" w:rsidR="009A32CA">
              <w:rPr>
                <w:rStyle w:val="Firstpagetablebold"/>
                <w:b w:val="0"/>
                <w:color w:val="auto"/>
              </w:rPr>
              <w:t xml:space="preserve"> 3</w:t>
            </w:r>
            <w:r w:rsidRPr="004415B7" w:rsidR="00861CB6">
              <w:rPr>
                <w:rStyle w:val="Firstpagetablebold"/>
                <w:b w:val="0"/>
                <w:color w:val="auto"/>
              </w:rPr>
              <w:t xml:space="preserve">0 </w:t>
            </w:r>
            <w:r w:rsidRPr="004415B7" w:rsidR="005635E7">
              <w:rPr>
                <w:rStyle w:val="Firstpagetablebold"/>
                <w:b w:val="0"/>
                <w:color w:val="auto"/>
              </w:rPr>
              <w:t>S</w:t>
            </w:r>
            <w:r w:rsidRPr="004415B7" w:rsidR="005635E7">
              <w:rPr>
                <w:rStyle w:val="Firstpagetablebold"/>
                <w:b w:val="0"/>
              </w:rPr>
              <w:t>eptember</w:t>
            </w:r>
            <w:r w:rsidRPr="004415B7" w:rsidR="009A32CA">
              <w:rPr>
                <w:rStyle w:val="Firstpagetablebold"/>
                <w:b w:val="0"/>
                <w:color w:val="auto"/>
              </w:rPr>
              <w:t xml:space="preserve"> 202</w:t>
            </w:r>
            <w:r w:rsidRPr="004415B7" w:rsidR="00861CB6">
              <w:rPr>
                <w:rStyle w:val="Firstpagetablebold"/>
                <w:b w:val="0"/>
                <w:color w:val="auto"/>
              </w:rPr>
              <w:t>5</w:t>
            </w:r>
            <w:r w:rsidRPr="004415B7" w:rsidR="009A32CA">
              <w:rPr>
                <w:rStyle w:val="Firstpagetablebold"/>
                <w:b w:val="0"/>
                <w:color w:val="auto"/>
              </w:rPr>
              <w:t xml:space="preserve">’ report to the Audit and Governance Committee dated </w:t>
            </w:r>
            <w:r w:rsidRPr="004415B7" w:rsidR="00CA21B4">
              <w:rPr>
                <w:rStyle w:val="Firstpagetablebold"/>
                <w:b w:val="0"/>
                <w:color w:val="auto"/>
              </w:rPr>
              <w:t>2</w:t>
            </w:r>
            <w:r w:rsidRPr="004415B7" w:rsidR="00CA21B4">
              <w:rPr>
                <w:rStyle w:val="Firstpagetablebold"/>
                <w:b w:val="0"/>
              </w:rPr>
              <w:t>1</w:t>
            </w:r>
            <w:r w:rsidRPr="004415B7" w:rsidR="00CA21B4">
              <w:rPr>
                <w:rStyle w:val="Firstpagetablebold"/>
                <w:b w:val="0"/>
                <w:vertAlign w:val="superscript"/>
              </w:rPr>
              <w:t>st</w:t>
            </w:r>
            <w:r w:rsidRPr="004415B7" w:rsidR="00CA21B4">
              <w:rPr>
                <w:rStyle w:val="Firstpagetablebold"/>
                <w:b w:val="0"/>
              </w:rPr>
              <w:t xml:space="preserve"> October</w:t>
            </w:r>
            <w:r w:rsidRPr="004415B7" w:rsidR="009A32CA">
              <w:rPr>
                <w:rStyle w:val="Firstpagetablebold"/>
                <w:b w:val="0"/>
                <w:color w:val="auto"/>
              </w:rPr>
              <w:t xml:space="preserve"> 2025</w:t>
            </w:r>
          </w:p>
        </w:tc>
      </w:tr>
    </w:tbl>
    <w:p w:rsidRPr="004415B7" w:rsidR="00CE4C87" w:rsidP="0093067A" w:rsidRDefault="00CE4C87" w14:paraId="6263B363" w14:textId="77777777">
      <w:pPr>
        <w:rPr>
          <w:color w:val="auto"/>
        </w:rPr>
      </w:pPr>
    </w:p>
    <w:p w:rsidRPr="004415B7" w:rsidR="0054712D" w:rsidP="28875D28" w:rsidRDefault="0054712D" w14:paraId="25E5CDF5" w14:noSpellErr="1" w14:textId="24E726B0">
      <w:pPr>
        <w:pStyle w:val="Normal"/>
        <w:spacing w:after="0"/>
        <w:ind/>
        <w:rPr>
          <w:b w:val="1"/>
          <w:bCs w:val="1"/>
          <w:color w:val="auto"/>
        </w:rPr>
      </w:pPr>
    </w:p>
    <w:sectPr w:rsidR="007A01AA" w:rsidSect="007A01AA">
      <w:headerReference w:type="first" r:id="rId15"/>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42D6" w:rsidP="004A6D2F" w:rsidRDefault="00CE42D6" w14:paraId="3ACD8F07" w14:textId="77777777">
      <w:r>
        <w:separator/>
      </w:r>
    </w:p>
  </w:endnote>
  <w:endnote w:type="continuationSeparator" w:id="0">
    <w:p w:rsidR="00CE42D6" w:rsidP="004A6D2F" w:rsidRDefault="00CE42D6" w14:paraId="1CE2C62F" w14:textId="77777777">
      <w:r>
        <w:continuationSeparator/>
      </w:r>
    </w:p>
  </w:endnote>
  <w:endnote w:type="continuationNotice" w:id="1">
    <w:p w:rsidR="00CE42D6" w:rsidRDefault="00CE42D6" w14:paraId="34E86172"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42D6" w:rsidP="004A6D2F" w:rsidRDefault="00CE42D6" w14:paraId="7E1ACEDC" w14:textId="77777777">
      <w:r>
        <w:separator/>
      </w:r>
    </w:p>
  </w:footnote>
  <w:footnote w:type="continuationSeparator" w:id="0">
    <w:p w:rsidR="00CE42D6" w:rsidP="004A6D2F" w:rsidRDefault="00CE42D6" w14:paraId="4AAB4AE9" w14:textId="77777777">
      <w:r>
        <w:continuationSeparator/>
      </w:r>
    </w:p>
  </w:footnote>
  <w:footnote w:type="continuationNotice" w:id="1">
    <w:p w:rsidR="00CE42D6" w:rsidRDefault="00CE42D6" w14:paraId="5D15A736"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01AA" w:rsidP="007A01AA" w:rsidRDefault="007A01AA" w14:paraId="3E45D7D8" w14:textId="518604A6">
    <w:pPr>
      <w:pStyle w:val="Header"/>
      <w:jc w:val="right"/>
    </w:pPr>
    <w:r w:rsidRPr="00612730">
      <w:rPr>
        <w:noProof/>
      </w:rPr>
      <w:drawing>
        <wp:anchor distT="0" distB="0" distL="114300" distR="114300" simplePos="0" relativeHeight="251658241" behindDoc="0" locked="0" layoutInCell="1" allowOverlap="1" wp14:anchorId="1A0E408C" wp14:editId="10DF7E9A">
          <wp:simplePos x="0" y="0"/>
          <wp:positionH relativeFrom="column">
            <wp:posOffset>5806440</wp:posOffset>
          </wp:positionH>
          <wp:positionV relativeFrom="paragraph">
            <wp:posOffset>-644525</wp:posOffset>
          </wp:positionV>
          <wp:extent cx="842645" cy="1121410"/>
          <wp:effectExtent l="0" t="0" r="0" b="2540"/>
          <wp:wrapNone/>
          <wp:docPr id="197224194" name="Picture 197224194"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2730">
      <w:rPr>
        <w:noProof/>
      </w:rPr>
      <w:drawing>
        <wp:anchor distT="0" distB="0" distL="114300" distR="114300" simplePos="0" relativeHeight="251658240" behindDoc="0" locked="0" layoutInCell="1" allowOverlap="1" wp14:anchorId="0DD715D7" wp14:editId="0F6D9A5F">
          <wp:simplePos x="0" y="0"/>
          <wp:positionH relativeFrom="column">
            <wp:posOffset>8940800</wp:posOffset>
          </wp:positionH>
          <wp:positionV relativeFrom="paragraph">
            <wp:posOffset>-647700</wp:posOffset>
          </wp:positionV>
          <wp:extent cx="842645" cy="1121410"/>
          <wp:effectExtent l="0" t="0" r="0" b="2540"/>
          <wp:wrapNone/>
          <wp:docPr id="395896451" name="Picture 395896451" descr="occ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1121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01AA" w:rsidP="00D5547E" w:rsidRDefault="007A01AA" w14:paraId="18764F90"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153"/>
    <w:multiLevelType w:val="hybridMultilevel"/>
    <w:tmpl w:val="A98AC3A2"/>
    <w:lvl w:ilvl="0" w:tplc="0809000F">
      <w:start w:val="1"/>
      <w:numFmt w:val="decimal"/>
      <w:lvlText w:val="%1."/>
      <w:lvlJc w:val="left"/>
      <w:pPr>
        <w:ind w:left="786"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C30BB"/>
    <w:multiLevelType w:val="multilevel"/>
    <w:tmpl w:val="E67CE66C"/>
    <w:styleLink w:val="StyleNumberedLeft0cmHanging075cm"/>
    <w:lvl w:ilvl="0">
      <w:start w:val="1"/>
      <w:numFmt w:val="decimal"/>
      <w:lvlText w:val="%1."/>
      <w:lvlJc w:val="left"/>
      <w:pPr>
        <w:ind w:left="786"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6E56A9"/>
    <w:multiLevelType w:val="hybridMultilevel"/>
    <w:tmpl w:val="BBC283E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0FAE4C09"/>
    <w:multiLevelType w:val="hybridMultilevel"/>
    <w:tmpl w:val="578A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70E84"/>
    <w:multiLevelType w:val="hybridMultilevel"/>
    <w:tmpl w:val="4BD479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CB506B1"/>
    <w:multiLevelType w:val="hybridMultilevel"/>
    <w:tmpl w:val="A51E068E"/>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7" w15:restartNumberingAfterBreak="0">
    <w:nsid w:val="1DA505B7"/>
    <w:multiLevelType w:val="multilevel"/>
    <w:tmpl w:val="650E48E0"/>
    <w:lvl w:ilvl="0">
      <w:start w:val="1"/>
      <w:numFmt w:val="bullet"/>
      <w:lvlText w:val=""/>
      <w:lvlJc w:val="left"/>
      <w:pPr>
        <w:ind w:left="1495" w:hanging="360"/>
      </w:pPr>
      <w:rPr>
        <w:rFonts w:hint="default" w:ascii="Symbol" w:hAnsi="Symbol"/>
        <w:b w:val="0"/>
        <w:bCs w:val="0"/>
        <w:color w:val="000000"/>
        <w:sz w:val="24"/>
      </w:rPr>
    </w:lvl>
    <w:lvl w:ilvl="1">
      <w:start w:val="1"/>
      <w:numFmt w:val="bullet"/>
      <w:lvlText w:val=""/>
      <w:lvlJc w:val="left"/>
      <w:pPr>
        <w:ind w:left="1212" w:hanging="360"/>
      </w:pPr>
      <w:rPr>
        <w:rFonts w:hint="default" w:ascii="Symbol" w:hAnsi="Symbol"/>
        <w:color w:val="auto"/>
      </w:rPr>
    </w:lvl>
    <w:lvl w:ilvl="2">
      <w:start w:val="1"/>
      <w:numFmt w:val="bullet"/>
      <w:lvlText w:val=""/>
      <w:lvlJc w:val="left"/>
      <w:pPr>
        <w:ind w:left="1980" w:hanging="360"/>
      </w:pPr>
      <w:rPr>
        <w:rFonts w:hint="default" w:ascii="Symbol" w:hAnsi="Symbol"/>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20980FC5"/>
    <w:multiLevelType w:val="hybridMultilevel"/>
    <w:tmpl w:val="6D2838EC"/>
    <w:lvl w:ilvl="0" w:tplc="AFA25F0A">
      <w:start w:val="1"/>
      <w:numFmt w:val="bullet"/>
      <w:pStyle w:val="Bulletpoints"/>
      <w:lvlText w:val=""/>
      <w:lvlJc w:val="left"/>
      <w:pPr>
        <w:ind w:left="1080" w:hanging="360"/>
      </w:pPr>
      <w:rPr>
        <w:rFonts w:hint="default" w:ascii="Symbol" w:hAnsi="Symbol"/>
      </w:rPr>
    </w:lvl>
    <w:lvl w:ilvl="1" w:tplc="FFFFFFFF">
      <w:start w:val="1"/>
      <w:numFmt w:val="bullet"/>
      <w:lvlText w:val=""/>
      <w:lvlJc w:val="left"/>
      <w:pPr>
        <w:ind w:left="2062" w:hanging="360"/>
      </w:pPr>
      <w:rPr>
        <w:rFonts w:hint="default" w:ascii="Symbol" w:hAnsi="Symbol"/>
      </w:rPr>
    </w:lvl>
    <w:lvl w:ilvl="2" w:tplc="D9D2C864">
      <w:start w:val="16"/>
      <w:numFmt w:val="decimal"/>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7F6258"/>
    <w:multiLevelType w:val="hybridMultilevel"/>
    <w:tmpl w:val="6A584D3A"/>
    <w:lvl w:ilvl="0" w:tplc="08090001">
      <w:start w:val="1"/>
      <w:numFmt w:val="bullet"/>
      <w:lvlText w:val=""/>
      <w:lvlJc w:val="left"/>
      <w:pPr>
        <w:ind w:left="1070" w:hanging="360"/>
      </w:pPr>
      <w:rPr>
        <w:rFonts w:hint="default" w:ascii="Symbol" w:hAnsi="Symbol"/>
      </w:rPr>
    </w:lvl>
    <w:lvl w:ilvl="1" w:tplc="08090003">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10" w15:restartNumberingAfterBreak="0">
    <w:nsid w:val="42B55487"/>
    <w:multiLevelType w:val="multilevel"/>
    <w:tmpl w:val="7D02256C"/>
    <w:lvl w:ilvl="0">
      <w:start w:val="1"/>
      <w:numFmt w:val="bullet"/>
      <w:lvlText w:val=""/>
      <w:lvlJc w:val="left"/>
      <w:pPr>
        <w:ind w:left="1495" w:hanging="360"/>
      </w:pPr>
      <w:rPr>
        <w:rFonts w:hint="default" w:ascii="Symbol" w:hAnsi="Symbol"/>
        <w:b w:val="0"/>
        <w:bCs w:val="0"/>
        <w:color w:val="000000"/>
        <w:sz w:val="24"/>
      </w:rPr>
    </w:lvl>
    <w:lvl w:ilvl="1">
      <w:start w:val="1"/>
      <w:numFmt w:val="bullet"/>
      <w:lvlText w:val=""/>
      <w:lvlJc w:val="left"/>
      <w:pPr>
        <w:ind w:left="1212" w:hanging="360"/>
      </w:pPr>
      <w:rPr>
        <w:rFonts w:hint="default" w:ascii="Symbol" w:hAnsi="Symbol"/>
        <w:color w:val="auto"/>
      </w:rPr>
    </w:lvl>
    <w:lvl w:ilvl="2">
      <w:start w:val="1"/>
      <w:numFmt w:val="bullet"/>
      <w:lvlText w:val="o"/>
      <w:lvlJc w:val="left"/>
      <w:pPr>
        <w:ind w:left="1980" w:hanging="360"/>
      </w:pPr>
      <w:rPr>
        <w:rFonts w:hint="default" w:ascii="Courier New" w:hAnsi="Courier New"/>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72B0F8F"/>
    <w:multiLevelType w:val="hybridMultilevel"/>
    <w:tmpl w:val="390C07F2"/>
    <w:lvl w:ilvl="0" w:tplc="FFFFFFFF">
      <w:start w:val="1"/>
      <w:numFmt w:val="bullet"/>
      <w:lvlText w:val=""/>
      <w:lvlJc w:val="left"/>
      <w:pPr>
        <w:ind w:left="1080" w:hanging="360"/>
      </w:pPr>
      <w:rPr>
        <w:rFonts w:hint="default" w:ascii="Symbol" w:hAnsi="Symbol"/>
      </w:rPr>
    </w:lvl>
    <w:lvl w:ilvl="1" w:tplc="08090001">
      <w:start w:val="1"/>
      <w:numFmt w:val="bullet"/>
      <w:lvlText w:val=""/>
      <w:lvlJc w:val="left"/>
      <w:pPr>
        <w:ind w:left="2062" w:hanging="360"/>
      </w:pPr>
      <w:rPr>
        <w:rFonts w:hint="default" w:ascii="Symbol" w:hAnsi="Symbol"/>
      </w:rPr>
    </w:lvl>
    <w:lvl w:ilvl="2" w:tplc="FFFFFFFF">
      <w:start w:val="16"/>
      <w:numFmt w:val="decimal"/>
      <w:lvlText w:val="%3"/>
      <w:lvlJc w:val="left"/>
      <w:pPr>
        <w:ind w:left="2700" w:hanging="36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A3223E1"/>
    <w:multiLevelType w:val="multilevel"/>
    <w:tmpl w:val="7D02256C"/>
    <w:lvl w:ilvl="0">
      <w:start w:val="1"/>
      <w:numFmt w:val="bullet"/>
      <w:lvlText w:val=""/>
      <w:lvlJc w:val="left"/>
      <w:pPr>
        <w:ind w:left="1495" w:hanging="360"/>
      </w:pPr>
      <w:rPr>
        <w:rFonts w:hint="default" w:ascii="Symbol" w:hAnsi="Symbol"/>
        <w:b w:val="0"/>
        <w:bCs w:val="0"/>
        <w:color w:val="000000"/>
        <w:sz w:val="24"/>
      </w:rPr>
    </w:lvl>
    <w:lvl w:ilvl="1">
      <w:start w:val="1"/>
      <w:numFmt w:val="bullet"/>
      <w:lvlText w:val=""/>
      <w:lvlJc w:val="left"/>
      <w:pPr>
        <w:ind w:left="1212" w:hanging="360"/>
      </w:pPr>
      <w:rPr>
        <w:rFonts w:hint="default" w:ascii="Symbol" w:hAnsi="Symbol"/>
        <w:color w:val="auto"/>
      </w:rPr>
    </w:lvl>
    <w:lvl w:ilvl="2">
      <w:start w:val="1"/>
      <w:numFmt w:val="bullet"/>
      <w:lvlText w:val="o"/>
      <w:lvlJc w:val="left"/>
      <w:pPr>
        <w:ind w:left="1980" w:hanging="360"/>
      </w:pPr>
      <w:rPr>
        <w:rFonts w:hint="default" w:ascii="Courier New" w:hAnsi="Courier New"/>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9A558FD"/>
    <w:multiLevelType w:val="hybridMultilevel"/>
    <w:tmpl w:val="3B66231C"/>
    <w:lvl w:ilvl="0" w:tplc="08090001">
      <w:start w:val="1"/>
      <w:numFmt w:val="bullet"/>
      <w:lvlText w:val=""/>
      <w:lvlJc w:val="left"/>
      <w:pPr>
        <w:ind w:left="1508" w:hanging="360"/>
      </w:pPr>
      <w:rPr>
        <w:rFonts w:hint="default" w:ascii="Symbol" w:hAnsi="Symbol"/>
      </w:rPr>
    </w:lvl>
    <w:lvl w:ilvl="1" w:tplc="08090003" w:tentative="1">
      <w:start w:val="1"/>
      <w:numFmt w:val="bullet"/>
      <w:lvlText w:val="o"/>
      <w:lvlJc w:val="left"/>
      <w:pPr>
        <w:ind w:left="2228" w:hanging="360"/>
      </w:pPr>
      <w:rPr>
        <w:rFonts w:hint="default" w:ascii="Courier New" w:hAnsi="Courier New" w:cs="Courier New"/>
      </w:rPr>
    </w:lvl>
    <w:lvl w:ilvl="2" w:tplc="08090005" w:tentative="1">
      <w:start w:val="1"/>
      <w:numFmt w:val="bullet"/>
      <w:lvlText w:val=""/>
      <w:lvlJc w:val="left"/>
      <w:pPr>
        <w:ind w:left="2948" w:hanging="360"/>
      </w:pPr>
      <w:rPr>
        <w:rFonts w:hint="default" w:ascii="Wingdings" w:hAnsi="Wingdings"/>
      </w:rPr>
    </w:lvl>
    <w:lvl w:ilvl="3" w:tplc="08090001" w:tentative="1">
      <w:start w:val="1"/>
      <w:numFmt w:val="bullet"/>
      <w:lvlText w:val=""/>
      <w:lvlJc w:val="left"/>
      <w:pPr>
        <w:ind w:left="3668" w:hanging="360"/>
      </w:pPr>
      <w:rPr>
        <w:rFonts w:hint="default" w:ascii="Symbol" w:hAnsi="Symbol"/>
      </w:rPr>
    </w:lvl>
    <w:lvl w:ilvl="4" w:tplc="08090003" w:tentative="1">
      <w:start w:val="1"/>
      <w:numFmt w:val="bullet"/>
      <w:lvlText w:val="o"/>
      <w:lvlJc w:val="left"/>
      <w:pPr>
        <w:ind w:left="4388" w:hanging="360"/>
      </w:pPr>
      <w:rPr>
        <w:rFonts w:hint="default" w:ascii="Courier New" w:hAnsi="Courier New" w:cs="Courier New"/>
      </w:rPr>
    </w:lvl>
    <w:lvl w:ilvl="5" w:tplc="08090005" w:tentative="1">
      <w:start w:val="1"/>
      <w:numFmt w:val="bullet"/>
      <w:lvlText w:val=""/>
      <w:lvlJc w:val="left"/>
      <w:pPr>
        <w:ind w:left="5108" w:hanging="360"/>
      </w:pPr>
      <w:rPr>
        <w:rFonts w:hint="default" w:ascii="Wingdings" w:hAnsi="Wingdings"/>
      </w:rPr>
    </w:lvl>
    <w:lvl w:ilvl="6" w:tplc="08090001" w:tentative="1">
      <w:start w:val="1"/>
      <w:numFmt w:val="bullet"/>
      <w:lvlText w:val=""/>
      <w:lvlJc w:val="left"/>
      <w:pPr>
        <w:ind w:left="5828" w:hanging="360"/>
      </w:pPr>
      <w:rPr>
        <w:rFonts w:hint="default" w:ascii="Symbol" w:hAnsi="Symbol"/>
      </w:rPr>
    </w:lvl>
    <w:lvl w:ilvl="7" w:tplc="08090003" w:tentative="1">
      <w:start w:val="1"/>
      <w:numFmt w:val="bullet"/>
      <w:lvlText w:val="o"/>
      <w:lvlJc w:val="left"/>
      <w:pPr>
        <w:ind w:left="6548" w:hanging="360"/>
      </w:pPr>
      <w:rPr>
        <w:rFonts w:hint="default" w:ascii="Courier New" w:hAnsi="Courier New" w:cs="Courier New"/>
      </w:rPr>
    </w:lvl>
    <w:lvl w:ilvl="8" w:tplc="08090005" w:tentative="1">
      <w:start w:val="1"/>
      <w:numFmt w:val="bullet"/>
      <w:lvlText w:val=""/>
      <w:lvlJc w:val="left"/>
      <w:pPr>
        <w:ind w:left="7268" w:hanging="360"/>
      </w:pPr>
      <w:rPr>
        <w:rFonts w:hint="default" w:ascii="Wingdings" w:hAnsi="Wingdings"/>
      </w:rPr>
    </w:lvl>
  </w:abstractNum>
  <w:abstractNum w:abstractNumId="14" w15:restartNumberingAfterBreak="0">
    <w:nsid w:val="5A0665A3"/>
    <w:multiLevelType w:val="multilevel"/>
    <w:tmpl w:val="7D02256C"/>
    <w:lvl w:ilvl="0">
      <w:start w:val="1"/>
      <w:numFmt w:val="bullet"/>
      <w:lvlText w:val=""/>
      <w:lvlJc w:val="left"/>
      <w:pPr>
        <w:ind w:left="1495" w:hanging="360"/>
      </w:pPr>
      <w:rPr>
        <w:rFonts w:hint="default" w:ascii="Symbol" w:hAnsi="Symbol"/>
        <w:b w:val="0"/>
        <w:bCs w:val="0"/>
        <w:color w:val="000000"/>
        <w:sz w:val="24"/>
      </w:rPr>
    </w:lvl>
    <w:lvl w:ilvl="1">
      <w:start w:val="1"/>
      <w:numFmt w:val="bullet"/>
      <w:lvlText w:val=""/>
      <w:lvlJc w:val="left"/>
      <w:pPr>
        <w:ind w:left="1212" w:hanging="360"/>
      </w:pPr>
      <w:rPr>
        <w:rFonts w:hint="default" w:ascii="Symbol" w:hAnsi="Symbol"/>
        <w:color w:val="auto"/>
      </w:rPr>
    </w:lvl>
    <w:lvl w:ilvl="2">
      <w:start w:val="1"/>
      <w:numFmt w:val="bullet"/>
      <w:lvlText w:val="o"/>
      <w:lvlJc w:val="left"/>
      <w:pPr>
        <w:ind w:left="1980" w:hanging="360"/>
      </w:pPr>
      <w:rPr>
        <w:rFonts w:hint="default" w:ascii="Courier New" w:hAnsi="Courier New"/>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AD3737"/>
    <w:multiLevelType w:val="multilevel"/>
    <w:tmpl w:val="7D02256C"/>
    <w:lvl w:ilvl="0">
      <w:start w:val="1"/>
      <w:numFmt w:val="bullet"/>
      <w:lvlText w:val=""/>
      <w:lvlJc w:val="left"/>
      <w:pPr>
        <w:ind w:left="1495" w:hanging="360"/>
      </w:pPr>
      <w:rPr>
        <w:rFonts w:hint="default" w:ascii="Symbol" w:hAnsi="Symbol"/>
        <w:b w:val="0"/>
        <w:bCs w:val="0"/>
        <w:color w:val="000000"/>
        <w:sz w:val="24"/>
      </w:rPr>
    </w:lvl>
    <w:lvl w:ilvl="1">
      <w:start w:val="1"/>
      <w:numFmt w:val="bullet"/>
      <w:lvlText w:val=""/>
      <w:lvlJc w:val="left"/>
      <w:pPr>
        <w:ind w:left="1212" w:hanging="360"/>
      </w:pPr>
      <w:rPr>
        <w:rFonts w:hint="default" w:ascii="Symbol" w:hAnsi="Symbol"/>
        <w:color w:val="auto"/>
      </w:rPr>
    </w:lvl>
    <w:lvl w:ilvl="2">
      <w:start w:val="1"/>
      <w:numFmt w:val="bullet"/>
      <w:lvlText w:val="o"/>
      <w:lvlJc w:val="left"/>
      <w:pPr>
        <w:ind w:left="1980" w:hanging="360"/>
      </w:pPr>
      <w:rPr>
        <w:rFonts w:hint="default" w:ascii="Courier New" w:hAnsi="Courier New"/>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9186F8E"/>
    <w:multiLevelType w:val="multilevel"/>
    <w:tmpl w:val="7D02256C"/>
    <w:lvl w:ilvl="0">
      <w:start w:val="1"/>
      <w:numFmt w:val="bullet"/>
      <w:lvlText w:val=""/>
      <w:lvlJc w:val="left"/>
      <w:pPr>
        <w:ind w:left="1495" w:hanging="360"/>
      </w:pPr>
      <w:rPr>
        <w:rFonts w:hint="default" w:ascii="Symbol" w:hAnsi="Symbol"/>
        <w:b w:val="0"/>
        <w:bCs w:val="0"/>
        <w:color w:val="000000"/>
        <w:sz w:val="24"/>
      </w:rPr>
    </w:lvl>
    <w:lvl w:ilvl="1">
      <w:start w:val="1"/>
      <w:numFmt w:val="bullet"/>
      <w:lvlText w:val=""/>
      <w:lvlJc w:val="left"/>
      <w:pPr>
        <w:ind w:left="1212" w:hanging="360"/>
      </w:pPr>
      <w:rPr>
        <w:rFonts w:hint="default" w:ascii="Symbol" w:hAnsi="Symbol"/>
        <w:color w:val="auto"/>
      </w:rPr>
    </w:lvl>
    <w:lvl w:ilvl="2">
      <w:start w:val="1"/>
      <w:numFmt w:val="bullet"/>
      <w:lvlText w:val="o"/>
      <w:lvlJc w:val="left"/>
      <w:pPr>
        <w:ind w:left="1980" w:hanging="360"/>
      </w:pPr>
      <w:rPr>
        <w:rFonts w:hint="default" w:ascii="Courier New" w:hAnsi="Courier New"/>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142886469">
    <w:abstractNumId w:val="1"/>
  </w:num>
  <w:num w:numId="2" w16cid:durableId="917709451">
    <w:abstractNumId w:val="8"/>
  </w:num>
  <w:num w:numId="3" w16cid:durableId="615409859">
    <w:abstractNumId w:val="2"/>
  </w:num>
  <w:num w:numId="4" w16cid:durableId="1683630193">
    <w:abstractNumId w:val="15"/>
  </w:num>
  <w:num w:numId="5" w16cid:durableId="1751148826">
    <w:abstractNumId w:val="0"/>
  </w:num>
  <w:num w:numId="6" w16cid:durableId="141820083">
    <w:abstractNumId w:val="9"/>
  </w:num>
  <w:num w:numId="7" w16cid:durableId="691371800">
    <w:abstractNumId w:val="7"/>
  </w:num>
  <w:num w:numId="8" w16cid:durableId="2109806954">
    <w:abstractNumId w:val="10"/>
  </w:num>
  <w:num w:numId="9" w16cid:durableId="479228935">
    <w:abstractNumId w:val="4"/>
  </w:num>
  <w:num w:numId="10" w16cid:durableId="114565689">
    <w:abstractNumId w:val="11"/>
  </w:num>
  <w:num w:numId="11" w16cid:durableId="371000583">
    <w:abstractNumId w:val="5"/>
  </w:num>
  <w:num w:numId="12" w16cid:durableId="524485285">
    <w:abstractNumId w:val="6"/>
  </w:num>
  <w:num w:numId="13" w16cid:durableId="935672061">
    <w:abstractNumId w:val="3"/>
  </w:num>
  <w:num w:numId="14" w16cid:durableId="711080475">
    <w:abstractNumId w:val="14"/>
  </w:num>
  <w:num w:numId="15" w16cid:durableId="2061250176">
    <w:abstractNumId w:val="8"/>
  </w:num>
  <w:num w:numId="16" w16cid:durableId="574820499">
    <w:abstractNumId w:val="8"/>
  </w:num>
  <w:num w:numId="17" w16cid:durableId="652418882">
    <w:abstractNumId w:val="16"/>
  </w:num>
  <w:num w:numId="18" w16cid:durableId="500586738">
    <w:abstractNumId w:val="17"/>
  </w:num>
  <w:num w:numId="19" w16cid:durableId="737744985">
    <w:abstractNumId w:val="12"/>
  </w:num>
  <w:num w:numId="20" w16cid:durableId="2117359207">
    <w:abstractNumId w:val="8"/>
  </w:num>
  <w:num w:numId="21" w16cid:durableId="645863086">
    <w:abstractNumId w:val="8"/>
  </w:num>
  <w:num w:numId="22" w16cid:durableId="93686657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292"/>
    <w:rsid w:val="0000066D"/>
    <w:rsid w:val="00000B65"/>
    <w:rsid w:val="00000FA4"/>
    <w:rsid w:val="00001544"/>
    <w:rsid w:val="0000315C"/>
    <w:rsid w:val="00003856"/>
    <w:rsid w:val="00003C9B"/>
    <w:rsid w:val="00003E3D"/>
    <w:rsid w:val="00005300"/>
    <w:rsid w:val="00005453"/>
    <w:rsid w:val="00007DE1"/>
    <w:rsid w:val="00007E2F"/>
    <w:rsid w:val="00010358"/>
    <w:rsid w:val="00010C09"/>
    <w:rsid w:val="00011721"/>
    <w:rsid w:val="000117D4"/>
    <w:rsid w:val="000119EC"/>
    <w:rsid w:val="00011B7A"/>
    <w:rsid w:val="000123E8"/>
    <w:rsid w:val="0001289D"/>
    <w:rsid w:val="00013492"/>
    <w:rsid w:val="000141BD"/>
    <w:rsid w:val="00016819"/>
    <w:rsid w:val="00016F18"/>
    <w:rsid w:val="000202CA"/>
    <w:rsid w:val="00021313"/>
    <w:rsid w:val="00021314"/>
    <w:rsid w:val="00021A50"/>
    <w:rsid w:val="00022214"/>
    <w:rsid w:val="00022D4B"/>
    <w:rsid w:val="00022E24"/>
    <w:rsid w:val="000239F3"/>
    <w:rsid w:val="00025973"/>
    <w:rsid w:val="00026B7B"/>
    <w:rsid w:val="000272E0"/>
    <w:rsid w:val="000276B8"/>
    <w:rsid w:val="00027A19"/>
    <w:rsid w:val="00030C17"/>
    <w:rsid w:val="000314D7"/>
    <w:rsid w:val="00031873"/>
    <w:rsid w:val="0003319B"/>
    <w:rsid w:val="00033A0C"/>
    <w:rsid w:val="00034BB9"/>
    <w:rsid w:val="00034DFA"/>
    <w:rsid w:val="00035E6B"/>
    <w:rsid w:val="0003626A"/>
    <w:rsid w:val="00036EE8"/>
    <w:rsid w:val="000418B1"/>
    <w:rsid w:val="00041BBB"/>
    <w:rsid w:val="00041D28"/>
    <w:rsid w:val="00042EDB"/>
    <w:rsid w:val="00044A94"/>
    <w:rsid w:val="00045CFD"/>
    <w:rsid w:val="00045F8B"/>
    <w:rsid w:val="00046505"/>
    <w:rsid w:val="00046AAE"/>
    <w:rsid w:val="00046D2B"/>
    <w:rsid w:val="00046D61"/>
    <w:rsid w:val="00047184"/>
    <w:rsid w:val="00047ABB"/>
    <w:rsid w:val="00047B56"/>
    <w:rsid w:val="000501D4"/>
    <w:rsid w:val="0005034E"/>
    <w:rsid w:val="00050BA8"/>
    <w:rsid w:val="00050DA8"/>
    <w:rsid w:val="00050DF9"/>
    <w:rsid w:val="000516D0"/>
    <w:rsid w:val="00052BF7"/>
    <w:rsid w:val="000530C4"/>
    <w:rsid w:val="00053295"/>
    <w:rsid w:val="0005334F"/>
    <w:rsid w:val="0005343F"/>
    <w:rsid w:val="000539D4"/>
    <w:rsid w:val="00053D19"/>
    <w:rsid w:val="000542E2"/>
    <w:rsid w:val="0005443F"/>
    <w:rsid w:val="000553A0"/>
    <w:rsid w:val="0005594D"/>
    <w:rsid w:val="00056263"/>
    <w:rsid w:val="00056FA2"/>
    <w:rsid w:val="00057678"/>
    <w:rsid w:val="00061941"/>
    <w:rsid w:val="00062038"/>
    <w:rsid w:val="0006237D"/>
    <w:rsid w:val="0006290E"/>
    <w:rsid w:val="0006399D"/>
    <w:rsid w:val="00063E0B"/>
    <w:rsid w:val="00064D8A"/>
    <w:rsid w:val="00064F82"/>
    <w:rsid w:val="00065127"/>
    <w:rsid w:val="00065786"/>
    <w:rsid w:val="00066510"/>
    <w:rsid w:val="00067108"/>
    <w:rsid w:val="00067F6F"/>
    <w:rsid w:val="00070E1A"/>
    <w:rsid w:val="000719E1"/>
    <w:rsid w:val="00071DA9"/>
    <w:rsid w:val="0007246D"/>
    <w:rsid w:val="00073508"/>
    <w:rsid w:val="000747C5"/>
    <w:rsid w:val="0007492F"/>
    <w:rsid w:val="000749E8"/>
    <w:rsid w:val="00074EAF"/>
    <w:rsid w:val="000753A8"/>
    <w:rsid w:val="00075907"/>
    <w:rsid w:val="00076C37"/>
    <w:rsid w:val="00077523"/>
    <w:rsid w:val="000776FF"/>
    <w:rsid w:val="0008046C"/>
    <w:rsid w:val="000807C4"/>
    <w:rsid w:val="00082AD8"/>
    <w:rsid w:val="00082E42"/>
    <w:rsid w:val="00083E57"/>
    <w:rsid w:val="00084AD0"/>
    <w:rsid w:val="00085201"/>
    <w:rsid w:val="00085B72"/>
    <w:rsid w:val="000861C5"/>
    <w:rsid w:val="00086CF2"/>
    <w:rsid w:val="00087757"/>
    <w:rsid w:val="00087BC5"/>
    <w:rsid w:val="000912F8"/>
    <w:rsid w:val="000917F9"/>
    <w:rsid w:val="00092362"/>
    <w:rsid w:val="00092B20"/>
    <w:rsid w:val="00093353"/>
    <w:rsid w:val="000943C7"/>
    <w:rsid w:val="00096070"/>
    <w:rsid w:val="000963D9"/>
    <w:rsid w:val="000A08B8"/>
    <w:rsid w:val="000A2FAD"/>
    <w:rsid w:val="000A38A2"/>
    <w:rsid w:val="000A4417"/>
    <w:rsid w:val="000A444C"/>
    <w:rsid w:val="000A4612"/>
    <w:rsid w:val="000A4635"/>
    <w:rsid w:val="000A47AE"/>
    <w:rsid w:val="000A591D"/>
    <w:rsid w:val="000A59C3"/>
    <w:rsid w:val="000B18CB"/>
    <w:rsid w:val="000B2381"/>
    <w:rsid w:val="000B485B"/>
    <w:rsid w:val="000B4D8A"/>
    <w:rsid w:val="000B5153"/>
    <w:rsid w:val="000B5DEC"/>
    <w:rsid w:val="000B6BD6"/>
    <w:rsid w:val="000B6C3C"/>
    <w:rsid w:val="000B76DA"/>
    <w:rsid w:val="000B7FCE"/>
    <w:rsid w:val="000C089F"/>
    <w:rsid w:val="000C1243"/>
    <w:rsid w:val="000C1868"/>
    <w:rsid w:val="000C1A15"/>
    <w:rsid w:val="000C1B61"/>
    <w:rsid w:val="000C1D07"/>
    <w:rsid w:val="000C2A5B"/>
    <w:rsid w:val="000C3928"/>
    <w:rsid w:val="000C3D16"/>
    <w:rsid w:val="000C4C93"/>
    <w:rsid w:val="000C4CB9"/>
    <w:rsid w:val="000C5533"/>
    <w:rsid w:val="000C5E8E"/>
    <w:rsid w:val="000C5EDB"/>
    <w:rsid w:val="000C5F5D"/>
    <w:rsid w:val="000C6280"/>
    <w:rsid w:val="000C6C82"/>
    <w:rsid w:val="000D0185"/>
    <w:rsid w:val="000D05BA"/>
    <w:rsid w:val="000D080B"/>
    <w:rsid w:val="000D169E"/>
    <w:rsid w:val="000D1B1B"/>
    <w:rsid w:val="000D26A3"/>
    <w:rsid w:val="000D2AD8"/>
    <w:rsid w:val="000D3262"/>
    <w:rsid w:val="000D3864"/>
    <w:rsid w:val="000D3D6A"/>
    <w:rsid w:val="000D4262"/>
    <w:rsid w:val="000D484A"/>
    <w:rsid w:val="000D5192"/>
    <w:rsid w:val="000D5378"/>
    <w:rsid w:val="000D63FB"/>
    <w:rsid w:val="000D66EC"/>
    <w:rsid w:val="000D73B3"/>
    <w:rsid w:val="000E0057"/>
    <w:rsid w:val="000E012D"/>
    <w:rsid w:val="000E0325"/>
    <w:rsid w:val="000E0683"/>
    <w:rsid w:val="000E0CB7"/>
    <w:rsid w:val="000E16C0"/>
    <w:rsid w:val="000E1714"/>
    <w:rsid w:val="000E19DE"/>
    <w:rsid w:val="000E1CA4"/>
    <w:rsid w:val="000E1E09"/>
    <w:rsid w:val="000E2B71"/>
    <w:rsid w:val="000E3427"/>
    <w:rsid w:val="000E3518"/>
    <w:rsid w:val="000E3B52"/>
    <w:rsid w:val="000E49D0"/>
    <w:rsid w:val="000E5221"/>
    <w:rsid w:val="000E58AD"/>
    <w:rsid w:val="000E7100"/>
    <w:rsid w:val="000F0C4E"/>
    <w:rsid w:val="000F0F0F"/>
    <w:rsid w:val="000F1070"/>
    <w:rsid w:val="000F1081"/>
    <w:rsid w:val="000F2557"/>
    <w:rsid w:val="000F2A7A"/>
    <w:rsid w:val="000F2C1B"/>
    <w:rsid w:val="000F3D6E"/>
    <w:rsid w:val="000F3DA1"/>
    <w:rsid w:val="000F4174"/>
    <w:rsid w:val="000F44CC"/>
    <w:rsid w:val="000F4751"/>
    <w:rsid w:val="000F66E0"/>
    <w:rsid w:val="000F6891"/>
    <w:rsid w:val="000F6983"/>
    <w:rsid w:val="000F6CB4"/>
    <w:rsid w:val="000F7980"/>
    <w:rsid w:val="00100F49"/>
    <w:rsid w:val="001010AA"/>
    <w:rsid w:val="00101E6E"/>
    <w:rsid w:val="001029E3"/>
    <w:rsid w:val="001037CA"/>
    <w:rsid w:val="00103859"/>
    <w:rsid w:val="00103889"/>
    <w:rsid w:val="0010431D"/>
    <w:rsid w:val="00104445"/>
    <w:rsid w:val="00104BAF"/>
    <w:rsid w:val="0010524C"/>
    <w:rsid w:val="001052C9"/>
    <w:rsid w:val="00107566"/>
    <w:rsid w:val="00107DB9"/>
    <w:rsid w:val="00107DFB"/>
    <w:rsid w:val="00110F60"/>
    <w:rsid w:val="001119AC"/>
    <w:rsid w:val="00111DE7"/>
    <w:rsid w:val="00111FB1"/>
    <w:rsid w:val="001121C1"/>
    <w:rsid w:val="0011263A"/>
    <w:rsid w:val="00113418"/>
    <w:rsid w:val="0011408F"/>
    <w:rsid w:val="00114286"/>
    <w:rsid w:val="00114D5F"/>
    <w:rsid w:val="00116921"/>
    <w:rsid w:val="00117AEF"/>
    <w:rsid w:val="00117FD9"/>
    <w:rsid w:val="00121043"/>
    <w:rsid w:val="00122192"/>
    <w:rsid w:val="001230A8"/>
    <w:rsid w:val="00124521"/>
    <w:rsid w:val="00124D88"/>
    <w:rsid w:val="00125094"/>
    <w:rsid w:val="0012592C"/>
    <w:rsid w:val="0012667E"/>
    <w:rsid w:val="001266D5"/>
    <w:rsid w:val="00126D38"/>
    <w:rsid w:val="00126F0D"/>
    <w:rsid w:val="00126FAE"/>
    <w:rsid w:val="00127DFF"/>
    <w:rsid w:val="0012CF25"/>
    <w:rsid w:val="0013140F"/>
    <w:rsid w:val="0013220D"/>
    <w:rsid w:val="00132872"/>
    <w:rsid w:val="00132A6F"/>
    <w:rsid w:val="00132E27"/>
    <w:rsid w:val="00133900"/>
    <w:rsid w:val="00133FCB"/>
    <w:rsid w:val="0013447C"/>
    <w:rsid w:val="001356F1"/>
    <w:rsid w:val="00135C15"/>
    <w:rsid w:val="00136994"/>
    <w:rsid w:val="00136EB8"/>
    <w:rsid w:val="00136FB7"/>
    <w:rsid w:val="0014128E"/>
    <w:rsid w:val="00141873"/>
    <w:rsid w:val="00142A87"/>
    <w:rsid w:val="00142FBB"/>
    <w:rsid w:val="001431DD"/>
    <w:rsid w:val="001444AE"/>
    <w:rsid w:val="0014696D"/>
    <w:rsid w:val="00147D97"/>
    <w:rsid w:val="00147DA9"/>
    <w:rsid w:val="00151215"/>
    <w:rsid w:val="00151888"/>
    <w:rsid w:val="00151E78"/>
    <w:rsid w:val="00151EA0"/>
    <w:rsid w:val="00151EDF"/>
    <w:rsid w:val="00152567"/>
    <w:rsid w:val="00152CFB"/>
    <w:rsid w:val="00152F1E"/>
    <w:rsid w:val="001531B9"/>
    <w:rsid w:val="00153DA4"/>
    <w:rsid w:val="00153E64"/>
    <w:rsid w:val="00153ECE"/>
    <w:rsid w:val="00153F26"/>
    <w:rsid w:val="0015467A"/>
    <w:rsid w:val="00154859"/>
    <w:rsid w:val="00154CC0"/>
    <w:rsid w:val="00155948"/>
    <w:rsid w:val="00155DC2"/>
    <w:rsid w:val="0015680D"/>
    <w:rsid w:val="00156999"/>
    <w:rsid w:val="001576F7"/>
    <w:rsid w:val="00160143"/>
    <w:rsid w:val="00160770"/>
    <w:rsid w:val="00160AC5"/>
    <w:rsid w:val="0016105F"/>
    <w:rsid w:val="001623E0"/>
    <w:rsid w:val="00162735"/>
    <w:rsid w:val="0016290C"/>
    <w:rsid w:val="00162B63"/>
    <w:rsid w:val="00162C5E"/>
    <w:rsid w:val="001639AD"/>
    <w:rsid w:val="00165502"/>
    <w:rsid w:val="00166033"/>
    <w:rsid w:val="001661D0"/>
    <w:rsid w:val="00166E6A"/>
    <w:rsid w:val="001675B7"/>
    <w:rsid w:val="0017015E"/>
    <w:rsid w:val="00170559"/>
    <w:rsid w:val="00170A2D"/>
    <w:rsid w:val="00171196"/>
    <w:rsid w:val="00172368"/>
    <w:rsid w:val="00172CED"/>
    <w:rsid w:val="00172D17"/>
    <w:rsid w:val="00172EFA"/>
    <w:rsid w:val="00173D24"/>
    <w:rsid w:val="00175938"/>
    <w:rsid w:val="00175CC5"/>
    <w:rsid w:val="00177372"/>
    <w:rsid w:val="00177808"/>
    <w:rsid w:val="00177F27"/>
    <w:rsid w:val="001804F2"/>
    <w:rsid w:val="00180520"/>
    <w:rsid w:val="001808BC"/>
    <w:rsid w:val="001820CB"/>
    <w:rsid w:val="001826BE"/>
    <w:rsid w:val="00182B81"/>
    <w:rsid w:val="0018474B"/>
    <w:rsid w:val="00184BA6"/>
    <w:rsid w:val="00184E8E"/>
    <w:rsid w:val="001852A4"/>
    <w:rsid w:val="00185A05"/>
    <w:rsid w:val="0018619D"/>
    <w:rsid w:val="001861C9"/>
    <w:rsid w:val="0018749F"/>
    <w:rsid w:val="00190014"/>
    <w:rsid w:val="00190ADE"/>
    <w:rsid w:val="0019225C"/>
    <w:rsid w:val="0019251E"/>
    <w:rsid w:val="001944A2"/>
    <w:rsid w:val="00194620"/>
    <w:rsid w:val="00194F0E"/>
    <w:rsid w:val="0019563E"/>
    <w:rsid w:val="00195C1F"/>
    <w:rsid w:val="00195CA7"/>
    <w:rsid w:val="001962D3"/>
    <w:rsid w:val="001965CB"/>
    <w:rsid w:val="00197786"/>
    <w:rsid w:val="00197A24"/>
    <w:rsid w:val="00197C34"/>
    <w:rsid w:val="001A011E"/>
    <w:rsid w:val="001A0548"/>
    <w:rsid w:val="001A066A"/>
    <w:rsid w:val="001A0CD0"/>
    <w:rsid w:val="001A13E6"/>
    <w:rsid w:val="001A2A0A"/>
    <w:rsid w:val="001A2F4E"/>
    <w:rsid w:val="001A3430"/>
    <w:rsid w:val="001A3451"/>
    <w:rsid w:val="001A382D"/>
    <w:rsid w:val="001A4B55"/>
    <w:rsid w:val="001A5731"/>
    <w:rsid w:val="001A58F2"/>
    <w:rsid w:val="001A5D75"/>
    <w:rsid w:val="001A60BF"/>
    <w:rsid w:val="001A6A80"/>
    <w:rsid w:val="001A6B6B"/>
    <w:rsid w:val="001A6EE3"/>
    <w:rsid w:val="001A70AB"/>
    <w:rsid w:val="001A7229"/>
    <w:rsid w:val="001A76FE"/>
    <w:rsid w:val="001A7892"/>
    <w:rsid w:val="001A7F2A"/>
    <w:rsid w:val="001A7F68"/>
    <w:rsid w:val="001B0AD1"/>
    <w:rsid w:val="001B243B"/>
    <w:rsid w:val="001B2E71"/>
    <w:rsid w:val="001B34B4"/>
    <w:rsid w:val="001B35ED"/>
    <w:rsid w:val="001B36AE"/>
    <w:rsid w:val="001B42C3"/>
    <w:rsid w:val="001B448D"/>
    <w:rsid w:val="001B453B"/>
    <w:rsid w:val="001B454E"/>
    <w:rsid w:val="001B4CD4"/>
    <w:rsid w:val="001B5939"/>
    <w:rsid w:val="001B5BB7"/>
    <w:rsid w:val="001B6B06"/>
    <w:rsid w:val="001B7E97"/>
    <w:rsid w:val="001C0901"/>
    <w:rsid w:val="001C122E"/>
    <w:rsid w:val="001C1532"/>
    <w:rsid w:val="001C1A7B"/>
    <w:rsid w:val="001C21C2"/>
    <w:rsid w:val="001C2416"/>
    <w:rsid w:val="001C269C"/>
    <w:rsid w:val="001C274C"/>
    <w:rsid w:val="001C2815"/>
    <w:rsid w:val="001C2B61"/>
    <w:rsid w:val="001C341F"/>
    <w:rsid w:val="001C391C"/>
    <w:rsid w:val="001C3DFC"/>
    <w:rsid w:val="001C3F04"/>
    <w:rsid w:val="001C566A"/>
    <w:rsid w:val="001C5B09"/>
    <w:rsid w:val="001C5D5E"/>
    <w:rsid w:val="001C651B"/>
    <w:rsid w:val="001C655B"/>
    <w:rsid w:val="001C6A69"/>
    <w:rsid w:val="001C770C"/>
    <w:rsid w:val="001C7982"/>
    <w:rsid w:val="001C7E44"/>
    <w:rsid w:val="001D05CE"/>
    <w:rsid w:val="001D1486"/>
    <w:rsid w:val="001D1B96"/>
    <w:rsid w:val="001D215F"/>
    <w:rsid w:val="001D22E9"/>
    <w:rsid w:val="001D2B03"/>
    <w:rsid w:val="001D2D1D"/>
    <w:rsid w:val="001D3606"/>
    <w:rsid w:val="001D484F"/>
    <w:rsid w:val="001D4D0D"/>
    <w:rsid w:val="001D678D"/>
    <w:rsid w:val="001D6B95"/>
    <w:rsid w:val="001D6D42"/>
    <w:rsid w:val="001D6EF6"/>
    <w:rsid w:val="001D7683"/>
    <w:rsid w:val="001E03F8"/>
    <w:rsid w:val="001E046C"/>
    <w:rsid w:val="001E0FBA"/>
    <w:rsid w:val="001E12C0"/>
    <w:rsid w:val="001E1678"/>
    <w:rsid w:val="001E177D"/>
    <w:rsid w:val="001E17F1"/>
    <w:rsid w:val="001E1822"/>
    <w:rsid w:val="001E21EB"/>
    <w:rsid w:val="001E3228"/>
    <w:rsid w:val="001E3376"/>
    <w:rsid w:val="001E4506"/>
    <w:rsid w:val="001E51E3"/>
    <w:rsid w:val="001E561E"/>
    <w:rsid w:val="001E7192"/>
    <w:rsid w:val="001E764B"/>
    <w:rsid w:val="001F1DA6"/>
    <w:rsid w:val="001F2940"/>
    <w:rsid w:val="001F3375"/>
    <w:rsid w:val="001F3480"/>
    <w:rsid w:val="001F38B8"/>
    <w:rsid w:val="001F5282"/>
    <w:rsid w:val="001F635F"/>
    <w:rsid w:val="001F65A7"/>
    <w:rsid w:val="001F7AB8"/>
    <w:rsid w:val="00200489"/>
    <w:rsid w:val="002005E3"/>
    <w:rsid w:val="00200935"/>
    <w:rsid w:val="002018CC"/>
    <w:rsid w:val="00201E18"/>
    <w:rsid w:val="00202443"/>
    <w:rsid w:val="0020267A"/>
    <w:rsid w:val="0020271D"/>
    <w:rsid w:val="00202783"/>
    <w:rsid w:val="00203B41"/>
    <w:rsid w:val="00203C36"/>
    <w:rsid w:val="00203FB2"/>
    <w:rsid w:val="00204936"/>
    <w:rsid w:val="00204ECD"/>
    <w:rsid w:val="0020535E"/>
    <w:rsid w:val="00205728"/>
    <w:rsid w:val="00205F1F"/>
    <w:rsid w:val="002060CD"/>
    <w:rsid w:val="00206412"/>
    <w:rsid w:val="002069B3"/>
    <w:rsid w:val="00206B28"/>
    <w:rsid w:val="002076C8"/>
    <w:rsid w:val="002077D5"/>
    <w:rsid w:val="00211440"/>
    <w:rsid w:val="002116EC"/>
    <w:rsid w:val="00211865"/>
    <w:rsid w:val="00213244"/>
    <w:rsid w:val="0021355D"/>
    <w:rsid w:val="00213A89"/>
    <w:rsid w:val="002151DC"/>
    <w:rsid w:val="002159FE"/>
    <w:rsid w:val="00215DC1"/>
    <w:rsid w:val="00216289"/>
    <w:rsid w:val="002162C0"/>
    <w:rsid w:val="00216D87"/>
    <w:rsid w:val="00217028"/>
    <w:rsid w:val="002172A5"/>
    <w:rsid w:val="00221C73"/>
    <w:rsid w:val="00222A4F"/>
    <w:rsid w:val="00224C93"/>
    <w:rsid w:val="002256CA"/>
    <w:rsid w:val="00227321"/>
    <w:rsid w:val="002276E7"/>
    <w:rsid w:val="002310A0"/>
    <w:rsid w:val="00231373"/>
    <w:rsid w:val="002324D4"/>
    <w:rsid w:val="002329CF"/>
    <w:rsid w:val="00232F5B"/>
    <w:rsid w:val="00233BD2"/>
    <w:rsid w:val="00234103"/>
    <w:rsid w:val="002342C7"/>
    <w:rsid w:val="00234552"/>
    <w:rsid w:val="00234675"/>
    <w:rsid w:val="00234976"/>
    <w:rsid w:val="00234F02"/>
    <w:rsid w:val="00235EFC"/>
    <w:rsid w:val="002369C8"/>
    <w:rsid w:val="0023761C"/>
    <w:rsid w:val="00240FF5"/>
    <w:rsid w:val="002410A6"/>
    <w:rsid w:val="002414FA"/>
    <w:rsid w:val="00241FF4"/>
    <w:rsid w:val="0024200A"/>
    <w:rsid w:val="0024225B"/>
    <w:rsid w:val="00242504"/>
    <w:rsid w:val="00242762"/>
    <w:rsid w:val="00242DD2"/>
    <w:rsid w:val="00243C3B"/>
    <w:rsid w:val="00243E21"/>
    <w:rsid w:val="00244793"/>
    <w:rsid w:val="0024495B"/>
    <w:rsid w:val="00244C87"/>
    <w:rsid w:val="00244FEC"/>
    <w:rsid w:val="0024599D"/>
    <w:rsid w:val="0024708B"/>
    <w:rsid w:val="00247C29"/>
    <w:rsid w:val="00250311"/>
    <w:rsid w:val="002507F4"/>
    <w:rsid w:val="00251A64"/>
    <w:rsid w:val="00251AD9"/>
    <w:rsid w:val="00251ED0"/>
    <w:rsid w:val="00252152"/>
    <w:rsid w:val="0025293E"/>
    <w:rsid w:val="00252967"/>
    <w:rsid w:val="002529BB"/>
    <w:rsid w:val="00253E33"/>
    <w:rsid w:val="002554A6"/>
    <w:rsid w:val="002559AF"/>
    <w:rsid w:val="00255EB4"/>
    <w:rsid w:val="00256350"/>
    <w:rsid w:val="002568BE"/>
    <w:rsid w:val="00256B64"/>
    <w:rsid w:val="00256E3F"/>
    <w:rsid w:val="00257063"/>
    <w:rsid w:val="00257263"/>
    <w:rsid w:val="00257523"/>
    <w:rsid w:val="002577CF"/>
    <w:rsid w:val="00257A6F"/>
    <w:rsid w:val="0026016A"/>
    <w:rsid w:val="0026045D"/>
    <w:rsid w:val="00260467"/>
    <w:rsid w:val="00260F94"/>
    <w:rsid w:val="002618E8"/>
    <w:rsid w:val="00261C3B"/>
    <w:rsid w:val="00261D35"/>
    <w:rsid w:val="00262299"/>
    <w:rsid w:val="00263478"/>
    <w:rsid w:val="00263EA3"/>
    <w:rsid w:val="00265216"/>
    <w:rsid w:val="00265217"/>
    <w:rsid w:val="00265A3A"/>
    <w:rsid w:val="00265BB1"/>
    <w:rsid w:val="00265DAC"/>
    <w:rsid w:val="002665C2"/>
    <w:rsid w:val="002667B8"/>
    <w:rsid w:val="002668C9"/>
    <w:rsid w:val="002669F0"/>
    <w:rsid w:val="0026796E"/>
    <w:rsid w:val="002705D9"/>
    <w:rsid w:val="0027180C"/>
    <w:rsid w:val="00277B24"/>
    <w:rsid w:val="0028004E"/>
    <w:rsid w:val="00280A97"/>
    <w:rsid w:val="00280ACC"/>
    <w:rsid w:val="00280C85"/>
    <w:rsid w:val="00280FB8"/>
    <w:rsid w:val="002812EC"/>
    <w:rsid w:val="00281592"/>
    <w:rsid w:val="002818A2"/>
    <w:rsid w:val="00281C55"/>
    <w:rsid w:val="00281FC5"/>
    <w:rsid w:val="0028230E"/>
    <w:rsid w:val="00282A53"/>
    <w:rsid w:val="00282E07"/>
    <w:rsid w:val="00282FF9"/>
    <w:rsid w:val="002834D5"/>
    <w:rsid w:val="00284815"/>
    <w:rsid w:val="00284BA8"/>
    <w:rsid w:val="00284DC4"/>
    <w:rsid w:val="00284F85"/>
    <w:rsid w:val="00285AB7"/>
    <w:rsid w:val="00285D6F"/>
    <w:rsid w:val="00287398"/>
    <w:rsid w:val="002873F1"/>
    <w:rsid w:val="00287B05"/>
    <w:rsid w:val="00287CB8"/>
    <w:rsid w:val="00287CE0"/>
    <w:rsid w:val="00287E78"/>
    <w:rsid w:val="00287FB6"/>
    <w:rsid w:val="00290915"/>
    <w:rsid w:val="002910E0"/>
    <w:rsid w:val="00291636"/>
    <w:rsid w:val="00291CF3"/>
    <w:rsid w:val="002925C6"/>
    <w:rsid w:val="00292C57"/>
    <w:rsid w:val="00293E1D"/>
    <w:rsid w:val="002943D3"/>
    <w:rsid w:val="00294796"/>
    <w:rsid w:val="002948DF"/>
    <w:rsid w:val="00294DDB"/>
    <w:rsid w:val="00295515"/>
    <w:rsid w:val="00296AD0"/>
    <w:rsid w:val="00296D5B"/>
    <w:rsid w:val="00296DAF"/>
    <w:rsid w:val="00297834"/>
    <w:rsid w:val="002A0F8B"/>
    <w:rsid w:val="002A15AE"/>
    <w:rsid w:val="002A15EC"/>
    <w:rsid w:val="002A1A82"/>
    <w:rsid w:val="002A22E2"/>
    <w:rsid w:val="002A2441"/>
    <w:rsid w:val="002A2755"/>
    <w:rsid w:val="002A37ED"/>
    <w:rsid w:val="002A3C38"/>
    <w:rsid w:val="002A42EF"/>
    <w:rsid w:val="002A43D8"/>
    <w:rsid w:val="002A4B6D"/>
    <w:rsid w:val="002A52D8"/>
    <w:rsid w:val="002A611F"/>
    <w:rsid w:val="002A6922"/>
    <w:rsid w:val="002B0315"/>
    <w:rsid w:val="002B047B"/>
    <w:rsid w:val="002B0ECD"/>
    <w:rsid w:val="002B18CF"/>
    <w:rsid w:val="002B18DD"/>
    <w:rsid w:val="002B2B6F"/>
    <w:rsid w:val="002B2C00"/>
    <w:rsid w:val="002B2C15"/>
    <w:rsid w:val="002B328D"/>
    <w:rsid w:val="002B3298"/>
    <w:rsid w:val="002B33AE"/>
    <w:rsid w:val="002B3A96"/>
    <w:rsid w:val="002B44D3"/>
    <w:rsid w:val="002B4642"/>
    <w:rsid w:val="002B4F45"/>
    <w:rsid w:val="002B55A9"/>
    <w:rsid w:val="002B5A68"/>
    <w:rsid w:val="002B721E"/>
    <w:rsid w:val="002B74C9"/>
    <w:rsid w:val="002B7659"/>
    <w:rsid w:val="002B78D8"/>
    <w:rsid w:val="002C077F"/>
    <w:rsid w:val="002C0C9B"/>
    <w:rsid w:val="002C0CD9"/>
    <w:rsid w:val="002C2240"/>
    <w:rsid w:val="002C2C5E"/>
    <w:rsid w:val="002C2F6E"/>
    <w:rsid w:val="002C45FC"/>
    <w:rsid w:val="002C466A"/>
    <w:rsid w:val="002C48A6"/>
    <w:rsid w:val="002C544A"/>
    <w:rsid w:val="002C556E"/>
    <w:rsid w:val="002C5EDF"/>
    <w:rsid w:val="002C64F7"/>
    <w:rsid w:val="002C65A7"/>
    <w:rsid w:val="002C6653"/>
    <w:rsid w:val="002C6849"/>
    <w:rsid w:val="002C6A20"/>
    <w:rsid w:val="002D1246"/>
    <w:rsid w:val="002D1679"/>
    <w:rsid w:val="002D2848"/>
    <w:rsid w:val="002D2AFE"/>
    <w:rsid w:val="002D2B39"/>
    <w:rsid w:val="002D37C3"/>
    <w:rsid w:val="002D45E1"/>
    <w:rsid w:val="002D4A0A"/>
    <w:rsid w:val="002D5764"/>
    <w:rsid w:val="002D59E1"/>
    <w:rsid w:val="002E014F"/>
    <w:rsid w:val="002E033A"/>
    <w:rsid w:val="002E0A00"/>
    <w:rsid w:val="002E0EC8"/>
    <w:rsid w:val="002E10CB"/>
    <w:rsid w:val="002E1323"/>
    <w:rsid w:val="002E22AE"/>
    <w:rsid w:val="002E2DF5"/>
    <w:rsid w:val="002E3728"/>
    <w:rsid w:val="002E4ABE"/>
    <w:rsid w:val="002E4F99"/>
    <w:rsid w:val="002E5065"/>
    <w:rsid w:val="002E5120"/>
    <w:rsid w:val="002E5C49"/>
    <w:rsid w:val="002E6433"/>
    <w:rsid w:val="002E6A0E"/>
    <w:rsid w:val="002E7969"/>
    <w:rsid w:val="002E7AE3"/>
    <w:rsid w:val="002E7F9B"/>
    <w:rsid w:val="002F0451"/>
    <w:rsid w:val="002F05A7"/>
    <w:rsid w:val="002F0E93"/>
    <w:rsid w:val="002F41F2"/>
    <w:rsid w:val="002F5517"/>
    <w:rsid w:val="002F567B"/>
    <w:rsid w:val="002F5E96"/>
    <w:rsid w:val="002F6BB7"/>
    <w:rsid w:val="00301347"/>
    <w:rsid w:val="00301BF3"/>
    <w:rsid w:val="0030208D"/>
    <w:rsid w:val="003025E1"/>
    <w:rsid w:val="00303562"/>
    <w:rsid w:val="0030435D"/>
    <w:rsid w:val="00304AD6"/>
    <w:rsid w:val="00306038"/>
    <w:rsid w:val="003071F2"/>
    <w:rsid w:val="00307CFF"/>
    <w:rsid w:val="00307EE2"/>
    <w:rsid w:val="003100A4"/>
    <w:rsid w:val="0031052F"/>
    <w:rsid w:val="00310837"/>
    <w:rsid w:val="00310F2B"/>
    <w:rsid w:val="0031185D"/>
    <w:rsid w:val="0031227C"/>
    <w:rsid w:val="003139C7"/>
    <w:rsid w:val="00313F90"/>
    <w:rsid w:val="00314274"/>
    <w:rsid w:val="00315B96"/>
    <w:rsid w:val="00316628"/>
    <w:rsid w:val="003200F9"/>
    <w:rsid w:val="003209BA"/>
    <w:rsid w:val="0032127D"/>
    <w:rsid w:val="00321E14"/>
    <w:rsid w:val="00322A0E"/>
    <w:rsid w:val="00323418"/>
    <w:rsid w:val="00323D75"/>
    <w:rsid w:val="00323EB4"/>
    <w:rsid w:val="00323F05"/>
    <w:rsid w:val="00324B36"/>
    <w:rsid w:val="00324D58"/>
    <w:rsid w:val="00325E71"/>
    <w:rsid w:val="00326774"/>
    <w:rsid w:val="00327479"/>
    <w:rsid w:val="0033039D"/>
    <w:rsid w:val="00330727"/>
    <w:rsid w:val="00330A1E"/>
    <w:rsid w:val="003311A1"/>
    <w:rsid w:val="003313F9"/>
    <w:rsid w:val="003319D3"/>
    <w:rsid w:val="00331EC5"/>
    <w:rsid w:val="00332036"/>
    <w:rsid w:val="003321B6"/>
    <w:rsid w:val="00332B12"/>
    <w:rsid w:val="003332AC"/>
    <w:rsid w:val="003334FC"/>
    <w:rsid w:val="00333C91"/>
    <w:rsid w:val="0033440C"/>
    <w:rsid w:val="00334936"/>
    <w:rsid w:val="0033495D"/>
    <w:rsid w:val="00335063"/>
    <w:rsid w:val="003357BF"/>
    <w:rsid w:val="003364F6"/>
    <w:rsid w:val="0033661B"/>
    <w:rsid w:val="00340121"/>
    <w:rsid w:val="003401E5"/>
    <w:rsid w:val="0034169C"/>
    <w:rsid w:val="00341E3E"/>
    <w:rsid w:val="0034377C"/>
    <w:rsid w:val="003439CC"/>
    <w:rsid w:val="00343A18"/>
    <w:rsid w:val="003442EF"/>
    <w:rsid w:val="003448CF"/>
    <w:rsid w:val="00344DD1"/>
    <w:rsid w:val="00345372"/>
    <w:rsid w:val="00346A74"/>
    <w:rsid w:val="003500FE"/>
    <w:rsid w:val="00350A26"/>
    <w:rsid w:val="0035145D"/>
    <w:rsid w:val="0035163A"/>
    <w:rsid w:val="00352716"/>
    <w:rsid w:val="00353015"/>
    <w:rsid w:val="00356060"/>
    <w:rsid w:val="003569AB"/>
    <w:rsid w:val="003576B6"/>
    <w:rsid w:val="00360AA3"/>
    <w:rsid w:val="00360CE3"/>
    <w:rsid w:val="003612BC"/>
    <w:rsid w:val="0036154D"/>
    <w:rsid w:val="00361FF9"/>
    <w:rsid w:val="00362D48"/>
    <w:rsid w:val="003631B3"/>
    <w:rsid w:val="00364FAD"/>
    <w:rsid w:val="00366332"/>
    <w:rsid w:val="003665D8"/>
    <w:rsid w:val="0036738F"/>
    <w:rsid w:val="0036759C"/>
    <w:rsid w:val="003676BA"/>
    <w:rsid w:val="003676C3"/>
    <w:rsid w:val="00367AE5"/>
    <w:rsid w:val="00367D71"/>
    <w:rsid w:val="0037059B"/>
    <w:rsid w:val="003712D4"/>
    <w:rsid w:val="003717C7"/>
    <w:rsid w:val="0037202D"/>
    <w:rsid w:val="003722DB"/>
    <w:rsid w:val="00372A8E"/>
    <w:rsid w:val="00372C2C"/>
    <w:rsid w:val="00374516"/>
    <w:rsid w:val="00374861"/>
    <w:rsid w:val="00374D4C"/>
    <w:rsid w:val="00376100"/>
    <w:rsid w:val="003763B6"/>
    <w:rsid w:val="00376EE5"/>
    <w:rsid w:val="00376F9F"/>
    <w:rsid w:val="00377CCB"/>
    <w:rsid w:val="00380691"/>
    <w:rsid w:val="00380CE4"/>
    <w:rsid w:val="00380F0D"/>
    <w:rsid w:val="0038150A"/>
    <w:rsid w:val="00381960"/>
    <w:rsid w:val="00381C65"/>
    <w:rsid w:val="00384612"/>
    <w:rsid w:val="003851F3"/>
    <w:rsid w:val="00385CD1"/>
    <w:rsid w:val="00386058"/>
    <w:rsid w:val="00386795"/>
    <w:rsid w:val="00390138"/>
    <w:rsid w:val="00390AD3"/>
    <w:rsid w:val="00391973"/>
    <w:rsid w:val="003922B8"/>
    <w:rsid w:val="003940F3"/>
    <w:rsid w:val="00394292"/>
    <w:rsid w:val="00394633"/>
    <w:rsid w:val="00394D5F"/>
    <w:rsid w:val="00395144"/>
    <w:rsid w:val="00395475"/>
    <w:rsid w:val="00395B8E"/>
    <w:rsid w:val="00395F98"/>
    <w:rsid w:val="00396C50"/>
    <w:rsid w:val="0039720B"/>
    <w:rsid w:val="003976F3"/>
    <w:rsid w:val="003A00AA"/>
    <w:rsid w:val="003A1072"/>
    <w:rsid w:val="003A1AD0"/>
    <w:rsid w:val="003A1FE9"/>
    <w:rsid w:val="003A214D"/>
    <w:rsid w:val="003A29E5"/>
    <w:rsid w:val="003A362C"/>
    <w:rsid w:val="003A3FE3"/>
    <w:rsid w:val="003A42F5"/>
    <w:rsid w:val="003A5436"/>
    <w:rsid w:val="003A54BA"/>
    <w:rsid w:val="003A55C4"/>
    <w:rsid w:val="003A5DA6"/>
    <w:rsid w:val="003A6DD9"/>
    <w:rsid w:val="003A74EF"/>
    <w:rsid w:val="003B0A0D"/>
    <w:rsid w:val="003B0E5E"/>
    <w:rsid w:val="003B12AF"/>
    <w:rsid w:val="003B1C33"/>
    <w:rsid w:val="003B22C7"/>
    <w:rsid w:val="003B44BB"/>
    <w:rsid w:val="003B4838"/>
    <w:rsid w:val="003B4FCF"/>
    <w:rsid w:val="003B6E75"/>
    <w:rsid w:val="003B6E7E"/>
    <w:rsid w:val="003B7DA1"/>
    <w:rsid w:val="003C00F3"/>
    <w:rsid w:val="003C0757"/>
    <w:rsid w:val="003C12FE"/>
    <w:rsid w:val="003C161A"/>
    <w:rsid w:val="003C1E31"/>
    <w:rsid w:val="003C2028"/>
    <w:rsid w:val="003C3080"/>
    <w:rsid w:val="003C4353"/>
    <w:rsid w:val="003C45DF"/>
    <w:rsid w:val="003C4BFF"/>
    <w:rsid w:val="003C619C"/>
    <w:rsid w:val="003C62B5"/>
    <w:rsid w:val="003C6543"/>
    <w:rsid w:val="003C6795"/>
    <w:rsid w:val="003C6E53"/>
    <w:rsid w:val="003C71B1"/>
    <w:rsid w:val="003C7DE4"/>
    <w:rsid w:val="003D0074"/>
    <w:rsid w:val="003D0379"/>
    <w:rsid w:val="003D07DB"/>
    <w:rsid w:val="003D0BD3"/>
    <w:rsid w:val="003D1E26"/>
    <w:rsid w:val="003D2503"/>
    <w:rsid w:val="003D2574"/>
    <w:rsid w:val="003D360E"/>
    <w:rsid w:val="003D4C59"/>
    <w:rsid w:val="003D686A"/>
    <w:rsid w:val="003D7A50"/>
    <w:rsid w:val="003D7A5B"/>
    <w:rsid w:val="003E0233"/>
    <w:rsid w:val="003E0DDB"/>
    <w:rsid w:val="003E1E33"/>
    <w:rsid w:val="003E2E7D"/>
    <w:rsid w:val="003E32CA"/>
    <w:rsid w:val="003E415C"/>
    <w:rsid w:val="003E446F"/>
    <w:rsid w:val="003E47AA"/>
    <w:rsid w:val="003E69BD"/>
    <w:rsid w:val="003E7272"/>
    <w:rsid w:val="003E7349"/>
    <w:rsid w:val="003E75E2"/>
    <w:rsid w:val="003E7934"/>
    <w:rsid w:val="003F04B0"/>
    <w:rsid w:val="003F0991"/>
    <w:rsid w:val="003F0D15"/>
    <w:rsid w:val="003F1B24"/>
    <w:rsid w:val="003F3AEA"/>
    <w:rsid w:val="003F3B2B"/>
    <w:rsid w:val="003F4267"/>
    <w:rsid w:val="003F4A0B"/>
    <w:rsid w:val="003F50F9"/>
    <w:rsid w:val="003F5196"/>
    <w:rsid w:val="003F688D"/>
    <w:rsid w:val="003F6A2A"/>
    <w:rsid w:val="003F6F7C"/>
    <w:rsid w:val="003F7042"/>
    <w:rsid w:val="003F7238"/>
    <w:rsid w:val="003F729A"/>
    <w:rsid w:val="003F7301"/>
    <w:rsid w:val="00400EE3"/>
    <w:rsid w:val="00401619"/>
    <w:rsid w:val="00401C6B"/>
    <w:rsid w:val="0040296E"/>
    <w:rsid w:val="00404032"/>
    <w:rsid w:val="00404237"/>
    <w:rsid w:val="00404689"/>
    <w:rsid w:val="00405217"/>
    <w:rsid w:val="00405BF2"/>
    <w:rsid w:val="004061A5"/>
    <w:rsid w:val="00406D7A"/>
    <w:rsid w:val="00406DD2"/>
    <w:rsid w:val="0040736F"/>
    <w:rsid w:val="00407BA5"/>
    <w:rsid w:val="00407F3C"/>
    <w:rsid w:val="00412C1F"/>
    <w:rsid w:val="00412CD7"/>
    <w:rsid w:val="00413512"/>
    <w:rsid w:val="004136E5"/>
    <w:rsid w:val="0041397C"/>
    <w:rsid w:val="00414168"/>
    <w:rsid w:val="0041511F"/>
    <w:rsid w:val="004152B0"/>
    <w:rsid w:val="00415FA3"/>
    <w:rsid w:val="00416279"/>
    <w:rsid w:val="00417F7E"/>
    <w:rsid w:val="00420257"/>
    <w:rsid w:val="00420868"/>
    <w:rsid w:val="004209B8"/>
    <w:rsid w:val="00421CB2"/>
    <w:rsid w:val="00423EAB"/>
    <w:rsid w:val="004261F7"/>
    <w:rsid w:val="004268B9"/>
    <w:rsid w:val="0042754C"/>
    <w:rsid w:val="00430E07"/>
    <w:rsid w:val="0043163A"/>
    <w:rsid w:val="00432099"/>
    <w:rsid w:val="00432C4E"/>
    <w:rsid w:val="004332E4"/>
    <w:rsid w:val="0043376C"/>
    <w:rsid w:val="00433A69"/>
    <w:rsid w:val="00433B96"/>
    <w:rsid w:val="00434790"/>
    <w:rsid w:val="00434DE0"/>
    <w:rsid w:val="0043602F"/>
    <w:rsid w:val="00436BE6"/>
    <w:rsid w:val="00436F8E"/>
    <w:rsid w:val="004374DE"/>
    <w:rsid w:val="00437733"/>
    <w:rsid w:val="0044009B"/>
    <w:rsid w:val="00440C15"/>
    <w:rsid w:val="004415B7"/>
    <w:rsid w:val="004429EB"/>
    <w:rsid w:val="00443045"/>
    <w:rsid w:val="004440F1"/>
    <w:rsid w:val="0044415D"/>
    <w:rsid w:val="004455BC"/>
    <w:rsid w:val="004456DD"/>
    <w:rsid w:val="00446085"/>
    <w:rsid w:val="00446CDF"/>
    <w:rsid w:val="00446E08"/>
    <w:rsid w:val="004475B0"/>
    <w:rsid w:val="00447964"/>
    <w:rsid w:val="00447EB5"/>
    <w:rsid w:val="004503C6"/>
    <w:rsid w:val="00450EEE"/>
    <w:rsid w:val="004517C8"/>
    <w:rsid w:val="004521B7"/>
    <w:rsid w:val="00452548"/>
    <w:rsid w:val="0045296B"/>
    <w:rsid w:val="00452B14"/>
    <w:rsid w:val="00452EC7"/>
    <w:rsid w:val="00452FEE"/>
    <w:rsid w:val="00455477"/>
    <w:rsid w:val="00455645"/>
    <w:rsid w:val="00455A06"/>
    <w:rsid w:val="00455A6A"/>
    <w:rsid w:val="00455D37"/>
    <w:rsid w:val="00455DE8"/>
    <w:rsid w:val="0045613A"/>
    <w:rsid w:val="0045691E"/>
    <w:rsid w:val="00457CCE"/>
    <w:rsid w:val="00460B6A"/>
    <w:rsid w:val="00461524"/>
    <w:rsid w:val="00462AB5"/>
    <w:rsid w:val="00462FB0"/>
    <w:rsid w:val="00463CC8"/>
    <w:rsid w:val="00463D58"/>
    <w:rsid w:val="0046414D"/>
    <w:rsid w:val="00464542"/>
    <w:rsid w:val="00464D05"/>
    <w:rsid w:val="00465007"/>
    <w:rsid w:val="00465DB6"/>
    <w:rsid w:val="00465EAF"/>
    <w:rsid w:val="00467EC7"/>
    <w:rsid w:val="00470625"/>
    <w:rsid w:val="00470A86"/>
    <w:rsid w:val="00470F81"/>
    <w:rsid w:val="00471863"/>
    <w:rsid w:val="00471964"/>
    <w:rsid w:val="004722D2"/>
    <w:rsid w:val="0047351F"/>
    <w:rsid w:val="004738C5"/>
    <w:rsid w:val="00474016"/>
    <w:rsid w:val="00474393"/>
    <w:rsid w:val="00474C2A"/>
    <w:rsid w:val="0047503D"/>
    <w:rsid w:val="00475277"/>
    <w:rsid w:val="004754CB"/>
    <w:rsid w:val="0047637C"/>
    <w:rsid w:val="00476627"/>
    <w:rsid w:val="00476CDE"/>
    <w:rsid w:val="0047757A"/>
    <w:rsid w:val="00477C55"/>
    <w:rsid w:val="004800CB"/>
    <w:rsid w:val="0048015E"/>
    <w:rsid w:val="004819FE"/>
    <w:rsid w:val="00481CC1"/>
    <w:rsid w:val="004839D2"/>
    <w:rsid w:val="00483EC1"/>
    <w:rsid w:val="00484C3B"/>
    <w:rsid w:val="00485494"/>
    <w:rsid w:val="00486F8E"/>
    <w:rsid w:val="00490593"/>
    <w:rsid w:val="00490A32"/>
    <w:rsid w:val="00490E60"/>
    <w:rsid w:val="00491046"/>
    <w:rsid w:val="00491307"/>
    <w:rsid w:val="004922F6"/>
    <w:rsid w:val="00492EFF"/>
    <w:rsid w:val="0049449D"/>
    <w:rsid w:val="004945B4"/>
    <w:rsid w:val="00494A91"/>
    <w:rsid w:val="00494ED3"/>
    <w:rsid w:val="00496356"/>
    <w:rsid w:val="0049698A"/>
    <w:rsid w:val="00497934"/>
    <w:rsid w:val="00497D06"/>
    <w:rsid w:val="00497D6C"/>
    <w:rsid w:val="00497F52"/>
    <w:rsid w:val="004A09EB"/>
    <w:rsid w:val="004A1EB4"/>
    <w:rsid w:val="004A2AC7"/>
    <w:rsid w:val="004A3EAE"/>
    <w:rsid w:val="004A40EA"/>
    <w:rsid w:val="004A41A2"/>
    <w:rsid w:val="004A4413"/>
    <w:rsid w:val="004A4FA0"/>
    <w:rsid w:val="004A5255"/>
    <w:rsid w:val="004A6D2F"/>
    <w:rsid w:val="004A75DB"/>
    <w:rsid w:val="004A7CFA"/>
    <w:rsid w:val="004A7F89"/>
    <w:rsid w:val="004B0887"/>
    <w:rsid w:val="004B1283"/>
    <w:rsid w:val="004B1993"/>
    <w:rsid w:val="004B2518"/>
    <w:rsid w:val="004B30AB"/>
    <w:rsid w:val="004B31A3"/>
    <w:rsid w:val="004B4121"/>
    <w:rsid w:val="004B5708"/>
    <w:rsid w:val="004B5983"/>
    <w:rsid w:val="004B59C0"/>
    <w:rsid w:val="004B5D95"/>
    <w:rsid w:val="004B644B"/>
    <w:rsid w:val="004B6807"/>
    <w:rsid w:val="004B6CBC"/>
    <w:rsid w:val="004B6D7A"/>
    <w:rsid w:val="004C0562"/>
    <w:rsid w:val="004C2191"/>
    <w:rsid w:val="004C2887"/>
    <w:rsid w:val="004C3E11"/>
    <w:rsid w:val="004C44FE"/>
    <w:rsid w:val="004C6024"/>
    <w:rsid w:val="004C6118"/>
    <w:rsid w:val="004C6918"/>
    <w:rsid w:val="004C6F01"/>
    <w:rsid w:val="004D0DBA"/>
    <w:rsid w:val="004D1B2B"/>
    <w:rsid w:val="004D2554"/>
    <w:rsid w:val="004D2626"/>
    <w:rsid w:val="004D2BC5"/>
    <w:rsid w:val="004D2F65"/>
    <w:rsid w:val="004D30FD"/>
    <w:rsid w:val="004D3A93"/>
    <w:rsid w:val="004D3D64"/>
    <w:rsid w:val="004D41E6"/>
    <w:rsid w:val="004D4231"/>
    <w:rsid w:val="004D483E"/>
    <w:rsid w:val="004D4B85"/>
    <w:rsid w:val="004D5561"/>
    <w:rsid w:val="004D597B"/>
    <w:rsid w:val="004D6E26"/>
    <w:rsid w:val="004D77D3"/>
    <w:rsid w:val="004E0434"/>
    <w:rsid w:val="004E0E5B"/>
    <w:rsid w:val="004E27A6"/>
    <w:rsid w:val="004E2959"/>
    <w:rsid w:val="004E78A2"/>
    <w:rsid w:val="004E7EEE"/>
    <w:rsid w:val="004F09E4"/>
    <w:rsid w:val="004F100E"/>
    <w:rsid w:val="004F1128"/>
    <w:rsid w:val="004F177E"/>
    <w:rsid w:val="004F1986"/>
    <w:rsid w:val="004F1A21"/>
    <w:rsid w:val="004F1B2E"/>
    <w:rsid w:val="004F1C12"/>
    <w:rsid w:val="004F20EF"/>
    <w:rsid w:val="004F260A"/>
    <w:rsid w:val="004F27CA"/>
    <w:rsid w:val="004F2A47"/>
    <w:rsid w:val="004F3434"/>
    <w:rsid w:val="004F3CB9"/>
    <w:rsid w:val="004F4F69"/>
    <w:rsid w:val="004F5A13"/>
    <w:rsid w:val="004F5B76"/>
    <w:rsid w:val="004F5EA2"/>
    <w:rsid w:val="004F652C"/>
    <w:rsid w:val="004F703E"/>
    <w:rsid w:val="004F7AF1"/>
    <w:rsid w:val="00500B74"/>
    <w:rsid w:val="00502B0D"/>
    <w:rsid w:val="0050321C"/>
    <w:rsid w:val="0050464F"/>
    <w:rsid w:val="005046E9"/>
    <w:rsid w:val="005048F3"/>
    <w:rsid w:val="00504973"/>
    <w:rsid w:val="00505305"/>
    <w:rsid w:val="00506F2F"/>
    <w:rsid w:val="0050725F"/>
    <w:rsid w:val="00507E3B"/>
    <w:rsid w:val="00513669"/>
    <w:rsid w:val="00513A05"/>
    <w:rsid w:val="00513E7A"/>
    <w:rsid w:val="00514C81"/>
    <w:rsid w:val="00515AAC"/>
    <w:rsid w:val="00515E8A"/>
    <w:rsid w:val="00516BBB"/>
    <w:rsid w:val="00517BF4"/>
    <w:rsid w:val="00520354"/>
    <w:rsid w:val="0052080B"/>
    <w:rsid w:val="005216BA"/>
    <w:rsid w:val="00522086"/>
    <w:rsid w:val="005223AA"/>
    <w:rsid w:val="00522A6A"/>
    <w:rsid w:val="00522B93"/>
    <w:rsid w:val="00522F06"/>
    <w:rsid w:val="00522F6D"/>
    <w:rsid w:val="00523412"/>
    <w:rsid w:val="0052383D"/>
    <w:rsid w:val="00523E35"/>
    <w:rsid w:val="00524CD7"/>
    <w:rsid w:val="0052595A"/>
    <w:rsid w:val="00525AFC"/>
    <w:rsid w:val="00526B78"/>
    <w:rsid w:val="005271B4"/>
    <w:rsid w:val="0052741B"/>
    <w:rsid w:val="00530042"/>
    <w:rsid w:val="005300D5"/>
    <w:rsid w:val="0053039F"/>
    <w:rsid w:val="00530462"/>
    <w:rsid w:val="005305BD"/>
    <w:rsid w:val="0053084D"/>
    <w:rsid w:val="00530B8E"/>
    <w:rsid w:val="0053127E"/>
    <w:rsid w:val="005326D6"/>
    <w:rsid w:val="0053338C"/>
    <w:rsid w:val="0053376D"/>
    <w:rsid w:val="00533CF5"/>
    <w:rsid w:val="0053470A"/>
    <w:rsid w:val="00534A13"/>
    <w:rsid w:val="00535DDD"/>
    <w:rsid w:val="005367B7"/>
    <w:rsid w:val="005369EA"/>
    <w:rsid w:val="00536A53"/>
    <w:rsid w:val="0053747D"/>
    <w:rsid w:val="00537590"/>
    <w:rsid w:val="00537BD6"/>
    <w:rsid w:val="005407E0"/>
    <w:rsid w:val="00540823"/>
    <w:rsid w:val="005422B3"/>
    <w:rsid w:val="00542756"/>
    <w:rsid w:val="00542A3D"/>
    <w:rsid w:val="00543A7D"/>
    <w:rsid w:val="00543E0F"/>
    <w:rsid w:val="00545041"/>
    <w:rsid w:val="00545370"/>
    <w:rsid w:val="00545461"/>
    <w:rsid w:val="005459E8"/>
    <w:rsid w:val="00546F96"/>
    <w:rsid w:val="0054712D"/>
    <w:rsid w:val="005476F1"/>
    <w:rsid w:val="00547742"/>
    <w:rsid w:val="005478FC"/>
    <w:rsid w:val="00547EAB"/>
    <w:rsid w:val="00547EF6"/>
    <w:rsid w:val="005500B2"/>
    <w:rsid w:val="0055120B"/>
    <w:rsid w:val="00551361"/>
    <w:rsid w:val="00553050"/>
    <w:rsid w:val="0055313C"/>
    <w:rsid w:val="00553FBC"/>
    <w:rsid w:val="00554BDE"/>
    <w:rsid w:val="00554E12"/>
    <w:rsid w:val="0055522B"/>
    <w:rsid w:val="005566C6"/>
    <w:rsid w:val="005570B5"/>
    <w:rsid w:val="005571E3"/>
    <w:rsid w:val="00557560"/>
    <w:rsid w:val="00557899"/>
    <w:rsid w:val="005603CD"/>
    <w:rsid w:val="0056233A"/>
    <w:rsid w:val="005635E7"/>
    <w:rsid w:val="0056421A"/>
    <w:rsid w:val="005656BD"/>
    <w:rsid w:val="00566828"/>
    <w:rsid w:val="00567279"/>
    <w:rsid w:val="0056736E"/>
    <w:rsid w:val="005679D5"/>
    <w:rsid w:val="00567E18"/>
    <w:rsid w:val="00570380"/>
    <w:rsid w:val="0057081B"/>
    <w:rsid w:val="005719CC"/>
    <w:rsid w:val="00571DBA"/>
    <w:rsid w:val="00572110"/>
    <w:rsid w:val="00572160"/>
    <w:rsid w:val="005727B7"/>
    <w:rsid w:val="005730EA"/>
    <w:rsid w:val="005753AD"/>
    <w:rsid w:val="00575961"/>
    <w:rsid w:val="00575F5F"/>
    <w:rsid w:val="005771A3"/>
    <w:rsid w:val="0058031A"/>
    <w:rsid w:val="00580464"/>
    <w:rsid w:val="005810C3"/>
    <w:rsid w:val="00581805"/>
    <w:rsid w:val="005818C8"/>
    <w:rsid w:val="0058330D"/>
    <w:rsid w:val="00584285"/>
    <w:rsid w:val="005851DA"/>
    <w:rsid w:val="005852BC"/>
    <w:rsid w:val="00585E66"/>
    <w:rsid w:val="00585F76"/>
    <w:rsid w:val="0058613E"/>
    <w:rsid w:val="0058626C"/>
    <w:rsid w:val="005864E2"/>
    <w:rsid w:val="005865ED"/>
    <w:rsid w:val="00590BCE"/>
    <w:rsid w:val="00591AF7"/>
    <w:rsid w:val="00593F67"/>
    <w:rsid w:val="00595515"/>
    <w:rsid w:val="00597CFC"/>
    <w:rsid w:val="00597F80"/>
    <w:rsid w:val="005A022D"/>
    <w:rsid w:val="005A0974"/>
    <w:rsid w:val="005A0B88"/>
    <w:rsid w:val="005A0DB2"/>
    <w:rsid w:val="005A142A"/>
    <w:rsid w:val="005A2915"/>
    <w:rsid w:val="005A34E4"/>
    <w:rsid w:val="005A3A05"/>
    <w:rsid w:val="005A4650"/>
    <w:rsid w:val="005A47C8"/>
    <w:rsid w:val="005A4929"/>
    <w:rsid w:val="005A4FB1"/>
    <w:rsid w:val="005A5705"/>
    <w:rsid w:val="005A5CA1"/>
    <w:rsid w:val="005A679D"/>
    <w:rsid w:val="005A6B52"/>
    <w:rsid w:val="005A7896"/>
    <w:rsid w:val="005A7BD5"/>
    <w:rsid w:val="005B020D"/>
    <w:rsid w:val="005B0A59"/>
    <w:rsid w:val="005B17F2"/>
    <w:rsid w:val="005B264D"/>
    <w:rsid w:val="005B2F55"/>
    <w:rsid w:val="005B332B"/>
    <w:rsid w:val="005B3AD8"/>
    <w:rsid w:val="005B5285"/>
    <w:rsid w:val="005B55EF"/>
    <w:rsid w:val="005B62E5"/>
    <w:rsid w:val="005B6AFA"/>
    <w:rsid w:val="005B75B3"/>
    <w:rsid w:val="005B7D62"/>
    <w:rsid w:val="005B7FB0"/>
    <w:rsid w:val="005C007E"/>
    <w:rsid w:val="005C048E"/>
    <w:rsid w:val="005C13B9"/>
    <w:rsid w:val="005C14B2"/>
    <w:rsid w:val="005C3463"/>
    <w:rsid w:val="005C35A5"/>
    <w:rsid w:val="005C3FA3"/>
    <w:rsid w:val="005C577C"/>
    <w:rsid w:val="005C5E13"/>
    <w:rsid w:val="005C5E16"/>
    <w:rsid w:val="005C668C"/>
    <w:rsid w:val="005C69A8"/>
    <w:rsid w:val="005C7249"/>
    <w:rsid w:val="005C7EF8"/>
    <w:rsid w:val="005D0621"/>
    <w:rsid w:val="005D145E"/>
    <w:rsid w:val="005D1E27"/>
    <w:rsid w:val="005D2069"/>
    <w:rsid w:val="005D2444"/>
    <w:rsid w:val="005D2622"/>
    <w:rsid w:val="005D2A3E"/>
    <w:rsid w:val="005D3922"/>
    <w:rsid w:val="005D4972"/>
    <w:rsid w:val="005D4BC9"/>
    <w:rsid w:val="005D5369"/>
    <w:rsid w:val="005D58A0"/>
    <w:rsid w:val="005D6590"/>
    <w:rsid w:val="005D6A4B"/>
    <w:rsid w:val="005D6E12"/>
    <w:rsid w:val="005D76D6"/>
    <w:rsid w:val="005D77D6"/>
    <w:rsid w:val="005D7A10"/>
    <w:rsid w:val="005E022E"/>
    <w:rsid w:val="005E0254"/>
    <w:rsid w:val="005E10AA"/>
    <w:rsid w:val="005E11ED"/>
    <w:rsid w:val="005E13BB"/>
    <w:rsid w:val="005E23B3"/>
    <w:rsid w:val="005E288E"/>
    <w:rsid w:val="005E32CF"/>
    <w:rsid w:val="005E48D5"/>
    <w:rsid w:val="005E5215"/>
    <w:rsid w:val="005E564F"/>
    <w:rsid w:val="005E582E"/>
    <w:rsid w:val="005E5B47"/>
    <w:rsid w:val="005E64CB"/>
    <w:rsid w:val="005E66E8"/>
    <w:rsid w:val="005F01A3"/>
    <w:rsid w:val="005F02D7"/>
    <w:rsid w:val="005F0425"/>
    <w:rsid w:val="005F0AB6"/>
    <w:rsid w:val="005F1F7E"/>
    <w:rsid w:val="005F3236"/>
    <w:rsid w:val="005F3412"/>
    <w:rsid w:val="005F4CEB"/>
    <w:rsid w:val="005F6567"/>
    <w:rsid w:val="005F7F7E"/>
    <w:rsid w:val="0060064E"/>
    <w:rsid w:val="00600E9D"/>
    <w:rsid w:val="00601A34"/>
    <w:rsid w:val="00602452"/>
    <w:rsid w:val="00602733"/>
    <w:rsid w:val="00602CEB"/>
    <w:rsid w:val="00603000"/>
    <w:rsid w:val="00603608"/>
    <w:rsid w:val="00603A2F"/>
    <w:rsid w:val="00603BBA"/>
    <w:rsid w:val="00604162"/>
    <w:rsid w:val="006048A9"/>
    <w:rsid w:val="00604A65"/>
    <w:rsid w:val="00604B4C"/>
    <w:rsid w:val="00606162"/>
    <w:rsid w:val="006066BA"/>
    <w:rsid w:val="00606E5E"/>
    <w:rsid w:val="00607108"/>
    <w:rsid w:val="006073E6"/>
    <w:rsid w:val="006078FE"/>
    <w:rsid w:val="006124CA"/>
    <w:rsid w:val="006133D8"/>
    <w:rsid w:val="00614693"/>
    <w:rsid w:val="00614BAC"/>
    <w:rsid w:val="00614D6B"/>
    <w:rsid w:val="006151ED"/>
    <w:rsid w:val="00615FCE"/>
    <w:rsid w:val="00617F07"/>
    <w:rsid w:val="0062009D"/>
    <w:rsid w:val="00620951"/>
    <w:rsid w:val="00620EA0"/>
    <w:rsid w:val="0062339C"/>
    <w:rsid w:val="00623C2F"/>
    <w:rsid w:val="006244E2"/>
    <w:rsid w:val="00624DB0"/>
    <w:rsid w:val="006252DB"/>
    <w:rsid w:val="00625A9D"/>
    <w:rsid w:val="00625F4F"/>
    <w:rsid w:val="00627083"/>
    <w:rsid w:val="0062796A"/>
    <w:rsid w:val="00630BF6"/>
    <w:rsid w:val="00630C9F"/>
    <w:rsid w:val="0063157A"/>
    <w:rsid w:val="00631905"/>
    <w:rsid w:val="006323F3"/>
    <w:rsid w:val="00632588"/>
    <w:rsid w:val="00632E04"/>
    <w:rsid w:val="00633578"/>
    <w:rsid w:val="00634D35"/>
    <w:rsid w:val="0063580B"/>
    <w:rsid w:val="00635C0A"/>
    <w:rsid w:val="00635F7C"/>
    <w:rsid w:val="0063657D"/>
    <w:rsid w:val="00636769"/>
    <w:rsid w:val="00636A00"/>
    <w:rsid w:val="00637068"/>
    <w:rsid w:val="00637A6A"/>
    <w:rsid w:val="00637AC3"/>
    <w:rsid w:val="0064030C"/>
    <w:rsid w:val="00640B28"/>
    <w:rsid w:val="006413BF"/>
    <w:rsid w:val="00642068"/>
    <w:rsid w:val="006429AA"/>
    <w:rsid w:val="00642B10"/>
    <w:rsid w:val="00642EFF"/>
    <w:rsid w:val="006435C0"/>
    <w:rsid w:val="00643ECB"/>
    <w:rsid w:val="00644B48"/>
    <w:rsid w:val="006450DE"/>
    <w:rsid w:val="00645472"/>
    <w:rsid w:val="0064625F"/>
    <w:rsid w:val="00647781"/>
    <w:rsid w:val="006479E8"/>
    <w:rsid w:val="00647EB2"/>
    <w:rsid w:val="00650642"/>
    <w:rsid w:val="00650811"/>
    <w:rsid w:val="00652FF9"/>
    <w:rsid w:val="006546AD"/>
    <w:rsid w:val="00654B3D"/>
    <w:rsid w:val="00654C64"/>
    <w:rsid w:val="00656980"/>
    <w:rsid w:val="00657207"/>
    <w:rsid w:val="0065764E"/>
    <w:rsid w:val="00657E96"/>
    <w:rsid w:val="0066057E"/>
    <w:rsid w:val="0066075A"/>
    <w:rsid w:val="00661D3E"/>
    <w:rsid w:val="006633F1"/>
    <w:rsid w:val="006634D8"/>
    <w:rsid w:val="0066395F"/>
    <w:rsid w:val="00664004"/>
    <w:rsid w:val="00664441"/>
    <w:rsid w:val="00664FF8"/>
    <w:rsid w:val="0066511B"/>
    <w:rsid w:val="00666094"/>
    <w:rsid w:val="00670A36"/>
    <w:rsid w:val="0067298D"/>
    <w:rsid w:val="00672B90"/>
    <w:rsid w:val="00672F70"/>
    <w:rsid w:val="00673F9F"/>
    <w:rsid w:val="00674828"/>
    <w:rsid w:val="006753C8"/>
    <w:rsid w:val="00675812"/>
    <w:rsid w:val="00675DB3"/>
    <w:rsid w:val="00676D0C"/>
    <w:rsid w:val="00677254"/>
    <w:rsid w:val="00680CB0"/>
    <w:rsid w:val="00680FE1"/>
    <w:rsid w:val="006815C2"/>
    <w:rsid w:val="00681AB7"/>
    <w:rsid w:val="00681BEE"/>
    <w:rsid w:val="00684438"/>
    <w:rsid w:val="00684474"/>
    <w:rsid w:val="00686C24"/>
    <w:rsid w:val="006875D6"/>
    <w:rsid w:val="00690479"/>
    <w:rsid w:val="00691B03"/>
    <w:rsid w:val="00691BFA"/>
    <w:rsid w:val="0069208B"/>
    <w:rsid w:val="00692627"/>
    <w:rsid w:val="006927FE"/>
    <w:rsid w:val="0069325F"/>
    <w:rsid w:val="0069333C"/>
    <w:rsid w:val="006945AD"/>
    <w:rsid w:val="0069478E"/>
    <w:rsid w:val="00694A16"/>
    <w:rsid w:val="00694E9E"/>
    <w:rsid w:val="006955A9"/>
    <w:rsid w:val="0069664A"/>
    <w:rsid w:val="006969E7"/>
    <w:rsid w:val="00696EF5"/>
    <w:rsid w:val="0069773D"/>
    <w:rsid w:val="006977C1"/>
    <w:rsid w:val="00697F53"/>
    <w:rsid w:val="006A03DC"/>
    <w:rsid w:val="006A0AC6"/>
    <w:rsid w:val="006A1CA9"/>
    <w:rsid w:val="006A24EB"/>
    <w:rsid w:val="006A25CE"/>
    <w:rsid w:val="006A281D"/>
    <w:rsid w:val="006A2ADB"/>
    <w:rsid w:val="006A3643"/>
    <w:rsid w:val="006A3DC9"/>
    <w:rsid w:val="006A4DDC"/>
    <w:rsid w:val="006A517A"/>
    <w:rsid w:val="006A60FC"/>
    <w:rsid w:val="006A6164"/>
    <w:rsid w:val="006A6BF4"/>
    <w:rsid w:val="006A6E17"/>
    <w:rsid w:val="006A7279"/>
    <w:rsid w:val="006B06A0"/>
    <w:rsid w:val="006B1855"/>
    <w:rsid w:val="006B222F"/>
    <w:rsid w:val="006B26D8"/>
    <w:rsid w:val="006B2797"/>
    <w:rsid w:val="006B2809"/>
    <w:rsid w:val="006B2F2E"/>
    <w:rsid w:val="006B401C"/>
    <w:rsid w:val="006B6506"/>
    <w:rsid w:val="006B655F"/>
    <w:rsid w:val="006B7532"/>
    <w:rsid w:val="006B75B9"/>
    <w:rsid w:val="006B77BE"/>
    <w:rsid w:val="006B79D4"/>
    <w:rsid w:val="006B7BBF"/>
    <w:rsid w:val="006B7C26"/>
    <w:rsid w:val="006B7F04"/>
    <w:rsid w:val="006C049A"/>
    <w:rsid w:val="006C05E6"/>
    <w:rsid w:val="006C0662"/>
    <w:rsid w:val="006C0A76"/>
    <w:rsid w:val="006C1250"/>
    <w:rsid w:val="006C2A29"/>
    <w:rsid w:val="006C32F5"/>
    <w:rsid w:val="006C3DDD"/>
    <w:rsid w:val="006C3F53"/>
    <w:rsid w:val="006C483B"/>
    <w:rsid w:val="006C516C"/>
    <w:rsid w:val="006C560C"/>
    <w:rsid w:val="006C577F"/>
    <w:rsid w:val="006C6373"/>
    <w:rsid w:val="006C64CF"/>
    <w:rsid w:val="006C6AFD"/>
    <w:rsid w:val="006C6D53"/>
    <w:rsid w:val="006C6DDA"/>
    <w:rsid w:val="006C745D"/>
    <w:rsid w:val="006C78E9"/>
    <w:rsid w:val="006D17B1"/>
    <w:rsid w:val="006D1B3D"/>
    <w:rsid w:val="006D1FD7"/>
    <w:rsid w:val="006D256A"/>
    <w:rsid w:val="006D287F"/>
    <w:rsid w:val="006D4147"/>
    <w:rsid w:val="006D4339"/>
    <w:rsid w:val="006D4752"/>
    <w:rsid w:val="006D583C"/>
    <w:rsid w:val="006D66A3"/>
    <w:rsid w:val="006D708A"/>
    <w:rsid w:val="006D7592"/>
    <w:rsid w:val="006D79CD"/>
    <w:rsid w:val="006D7C72"/>
    <w:rsid w:val="006E03AF"/>
    <w:rsid w:val="006E14C1"/>
    <w:rsid w:val="006E1ADB"/>
    <w:rsid w:val="006E1C9E"/>
    <w:rsid w:val="006E3684"/>
    <w:rsid w:val="006E406E"/>
    <w:rsid w:val="006E435E"/>
    <w:rsid w:val="006E4B8F"/>
    <w:rsid w:val="006E4C83"/>
    <w:rsid w:val="006E61D6"/>
    <w:rsid w:val="006E6CDA"/>
    <w:rsid w:val="006F0292"/>
    <w:rsid w:val="006F0DB0"/>
    <w:rsid w:val="006F1780"/>
    <w:rsid w:val="006F1ADD"/>
    <w:rsid w:val="006F2418"/>
    <w:rsid w:val="006F2709"/>
    <w:rsid w:val="006F27FA"/>
    <w:rsid w:val="006F2D22"/>
    <w:rsid w:val="006F34E7"/>
    <w:rsid w:val="006F379B"/>
    <w:rsid w:val="006F3AF6"/>
    <w:rsid w:val="006F3C32"/>
    <w:rsid w:val="006F3E85"/>
    <w:rsid w:val="006F416B"/>
    <w:rsid w:val="006F4D93"/>
    <w:rsid w:val="006F4FD5"/>
    <w:rsid w:val="006F519B"/>
    <w:rsid w:val="006F6337"/>
    <w:rsid w:val="006F7468"/>
    <w:rsid w:val="006F7CC4"/>
    <w:rsid w:val="006F7FA7"/>
    <w:rsid w:val="007001FC"/>
    <w:rsid w:val="007009BD"/>
    <w:rsid w:val="00700B84"/>
    <w:rsid w:val="00701038"/>
    <w:rsid w:val="00702987"/>
    <w:rsid w:val="00702AF1"/>
    <w:rsid w:val="007039C5"/>
    <w:rsid w:val="007042AA"/>
    <w:rsid w:val="0070527A"/>
    <w:rsid w:val="0070529F"/>
    <w:rsid w:val="0070575B"/>
    <w:rsid w:val="007064EA"/>
    <w:rsid w:val="007111FA"/>
    <w:rsid w:val="007115C1"/>
    <w:rsid w:val="00711F16"/>
    <w:rsid w:val="00712C94"/>
    <w:rsid w:val="007131C4"/>
    <w:rsid w:val="00713675"/>
    <w:rsid w:val="007136A3"/>
    <w:rsid w:val="00714710"/>
    <w:rsid w:val="00715823"/>
    <w:rsid w:val="00720A81"/>
    <w:rsid w:val="00721976"/>
    <w:rsid w:val="00721CF9"/>
    <w:rsid w:val="00721D02"/>
    <w:rsid w:val="0072242B"/>
    <w:rsid w:val="00722A59"/>
    <w:rsid w:val="00722B7D"/>
    <w:rsid w:val="0072380E"/>
    <w:rsid w:val="00724058"/>
    <w:rsid w:val="00724235"/>
    <w:rsid w:val="00724486"/>
    <w:rsid w:val="00725273"/>
    <w:rsid w:val="007266C5"/>
    <w:rsid w:val="00727A69"/>
    <w:rsid w:val="0073065E"/>
    <w:rsid w:val="00730E5C"/>
    <w:rsid w:val="00731644"/>
    <w:rsid w:val="00731A81"/>
    <w:rsid w:val="0073229D"/>
    <w:rsid w:val="00732BDF"/>
    <w:rsid w:val="00733354"/>
    <w:rsid w:val="007333C3"/>
    <w:rsid w:val="00733407"/>
    <w:rsid w:val="007338F5"/>
    <w:rsid w:val="00734425"/>
    <w:rsid w:val="0073531E"/>
    <w:rsid w:val="00736247"/>
    <w:rsid w:val="00736614"/>
    <w:rsid w:val="00736955"/>
    <w:rsid w:val="00737B93"/>
    <w:rsid w:val="0074052C"/>
    <w:rsid w:val="00740B3F"/>
    <w:rsid w:val="00740E03"/>
    <w:rsid w:val="007415CA"/>
    <w:rsid w:val="00742DAA"/>
    <w:rsid w:val="00742FAF"/>
    <w:rsid w:val="00743031"/>
    <w:rsid w:val="00744991"/>
    <w:rsid w:val="00744A70"/>
    <w:rsid w:val="00744D59"/>
    <w:rsid w:val="0074535F"/>
    <w:rsid w:val="007453C1"/>
    <w:rsid w:val="00745BF0"/>
    <w:rsid w:val="00745C81"/>
    <w:rsid w:val="0074685F"/>
    <w:rsid w:val="007472C6"/>
    <w:rsid w:val="007500C0"/>
    <w:rsid w:val="00751A68"/>
    <w:rsid w:val="00751FD3"/>
    <w:rsid w:val="00752132"/>
    <w:rsid w:val="00752960"/>
    <w:rsid w:val="00752ADC"/>
    <w:rsid w:val="0075305F"/>
    <w:rsid w:val="00754B80"/>
    <w:rsid w:val="0075508E"/>
    <w:rsid w:val="0075664A"/>
    <w:rsid w:val="0075707F"/>
    <w:rsid w:val="00757B18"/>
    <w:rsid w:val="0076002E"/>
    <w:rsid w:val="007604CE"/>
    <w:rsid w:val="007611F8"/>
    <w:rsid w:val="007613A8"/>
    <w:rsid w:val="007615FE"/>
    <w:rsid w:val="0076287E"/>
    <w:rsid w:val="00762B40"/>
    <w:rsid w:val="0076348D"/>
    <w:rsid w:val="007638C3"/>
    <w:rsid w:val="00763B22"/>
    <w:rsid w:val="007648D6"/>
    <w:rsid w:val="0076655C"/>
    <w:rsid w:val="00766982"/>
    <w:rsid w:val="0076787C"/>
    <w:rsid w:val="00770551"/>
    <w:rsid w:val="007714C1"/>
    <w:rsid w:val="007717BA"/>
    <w:rsid w:val="00771A08"/>
    <w:rsid w:val="00772CB7"/>
    <w:rsid w:val="00772E35"/>
    <w:rsid w:val="00773000"/>
    <w:rsid w:val="007742DC"/>
    <w:rsid w:val="00774AC0"/>
    <w:rsid w:val="00775283"/>
    <w:rsid w:val="007758A4"/>
    <w:rsid w:val="007766F3"/>
    <w:rsid w:val="00780B91"/>
    <w:rsid w:val="00780CF7"/>
    <w:rsid w:val="00781CE1"/>
    <w:rsid w:val="00782785"/>
    <w:rsid w:val="007839B9"/>
    <w:rsid w:val="00784884"/>
    <w:rsid w:val="00785023"/>
    <w:rsid w:val="00785148"/>
    <w:rsid w:val="0078558C"/>
    <w:rsid w:val="00786272"/>
    <w:rsid w:val="007864DC"/>
    <w:rsid w:val="007866D1"/>
    <w:rsid w:val="00786A60"/>
    <w:rsid w:val="007876FF"/>
    <w:rsid w:val="007907D7"/>
    <w:rsid w:val="00791437"/>
    <w:rsid w:val="00791AB8"/>
    <w:rsid w:val="0079321F"/>
    <w:rsid w:val="00793837"/>
    <w:rsid w:val="0079552E"/>
    <w:rsid w:val="007964D5"/>
    <w:rsid w:val="00796CEC"/>
    <w:rsid w:val="00797AC9"/>
    <w:rsid w:val="007A01AA"/>
    <w:rsid w:val="007A0A97"/>
    <w:rsid w:val="007A2C7B"/>
    <w:rsid w:val="007A33DF"/>
    <w:rsid w:val="007A3813"/>
    <w:rsid w:val="007A38CD"/>
    <w:rsid w:val="007A4727"/>
    <w:rsid w:val="007A4F07"/>
    <w:rsid w:val="007A51AE"/>
    <w:rsid w:val="007A552A"/>
    <w:rsid w:val="007A5620"/>
    <w:rsid w:val="007A638E"/>
    <w:rsid w:val="007A64CE"/>
    <w:rsid w:val="007A770F"/>
    <w:rsid w:val="007B0C2C"/>
    <w:rsid w:val="007B12FE"/>
    <w:rsid w:val="007B190D"/>
    <w:rsid w:val="007B23BD"/>
    <w:rsid w:val="007B278E"/>
    <w:rsid w:val="007B2B0E"/>
    <w:rsid w:val="007B3359"/>
    <w:rsid w:val="007B43FB"/>
    <w:rsid w:val="007B4795"/>
    <w:rsid w:val="007B7447"/>
    <w:rsid w:val="007B7D1D"/>
    <w:rsid w:val="007B7DE2"/>
    <w:rsid w:val="007C023C"/>
    <w:rsid w:val="007C25CA"/>
    <w:rsid w:val="007C282E"/>
    <w:rsid w:val="007C2860"/>
    <w:rsid w:val="007C2BCB"/>
    <w:rsid w:val="007C2C89"/>
    <w:rsid w:val="007C2FE2"/>
    <w:rsid w:val="007C3227"/>
    <w:rsid w:val="007C3B5B"/>
    <w:rsid w:val="007C3C59"/>
    <w:rsid w:val="007C3CF1"/>
    <w:rsid w:val="007C42D2"/>
    <w:rsid w:val="007C4506"/>
    <w:rsid w:val="007C56A7"/>
    <w:rsid w:val="007C5C23"/>
    <w:rsid w:val="007C6F8A"/>
    <w:rsid w:val="007C7B8A"/>
    <w:rsid w:val="007C7E02"/>
    <w:rsid w:val="007D0C41"/>
    <w:rsid w:val="007D0E21"/>
    <w:rsid w:val="007D1829"/>
    <w:rsid w:val="007D1A54"/>
    <w:rsid w:val="007D27B8"/>
    <w:rsid w:val="007D2A41"/>
    <w:rsid w:val="007D2B26"/>
    <w:rsid w:val="007D3C2D"/>
    <w:rsid w:val="007D4D6B"/>
    <w:rsid w:val="007D4EE9"/>
    <w:rsid w:val="007D5ED8"/>
    <w:rsid w:val="007D6923"/>
    <w:rsid w:val="007D6B84"/>
    <w:rsid w:val="007D6B90"/>
    <w:rsid w:val="007D75A8"/>
    <w:rsid w:val="007D7714"/>
    <w:rsid w:val="007E0D12"/>
    <w:rsid w:val="007E0F4C"/>
    <w:rsid w:val="007E13DD"/>
    <w:rsid w:val="007E16CE"/>
    <w:rsid w:val="007E205B"/>
    <w:rsid w:val="007E28E1"/>
    <w:rsid w:val="007E2A26"/>
    <w:rsid w:val="007E2A54"/>
    <w:rsid w:val="007E3D31"/>
    <w:rsid w:val="007E48D6"/>
    <w:rsid w:val="007E4A25"/>
    <w:rsid w:val="007E5F16"/>
    <w:rsid w:val="007E64F0"/>
    <w:rsid w:val="007E75B1"/>
    <w:rsid w:val="007F0269"/>
    <w:rsid w:val="007F0615"/>
    <w:rsid w:val="007F0928"/>
    <w:rsid w:val="007F0A26"/>
    <w:rsid w:val="007F1C7F"/>
    <w:rsid w:val="007F2348"/>
    <w:rsid w:val="007F49D6"/>
    <w:rsid w:val="007F4E29"/>
    <w:rsid w:val="007F5F65"/>
    <w:rsid w:val="007F618A"/>
    <w:rsid w:val="007F6499"/>
    <w:rsid w:val="007F6A40"/>
    <w:rsid w:val="008015E8"/>
    <w:rsid w:val="0080190A"/>
    <w:rsid w:val="00801D11"/>
    <w:rsid w:val="00802422"/>
    <w:rsid w:val="008035BB"/>
    <w:rsid w:val="00803F07"/>
    <w:rsid w:val="00803F1A"/>
    <w:rsid w:val="00804249"/>
    <w:rsid w:val="00804819"/>
    <w:rsid w:val="008050A5"/>
    <w:rsid w:val="00805ABB"/>
    <w:rsid w:val="008062C7"/>
    <w:rsid w:val="00806B00"/>
    <w:rsid w:val="00807322"/>
    <w:rsid w:val="0080749A"/>
    <w:rsid w:val="008074F3"/>
    <w:rsid w:val="008077F8"/>
    <w:rsid w:val="0081059A"/>
    <w:rsid w:val="0081070A"/>
    <w:rsid w:val="0081149E"/>
    <w:rsid w:val="008135B1"/>
    <w:rsid w:val="00813A7D"/>
    <w:rsid w:val="008143FE"/>
    <w:rsid w:val="00814BCA"/>
    <w:rsid w:val="00815233"/>
    <w:rsid w:val="0081591F"/>
    <w:rsid w:val="00817482"/>
    <w:rsid w:val="00817721"/>
    <w:rsid w:val="00817D67"/>
    <w:rsid w:val="00820D78"/>
    <w:rsid w:val="00821AE0"/>
    <w:rsid w:val="00821FB8"/>
    <w:rsid w:val="00822ACD"/>
    <w:rsid w:val="00823BE9"/>
    <w:rsid w:val="008240A8"/>
    <w:rsid w:val="008240C5"/>
    <w:rsid w:val="00824441"/>
    <w:rsid w:val="008256E0"/>
    <w:rsid w:val="00825718"/>
    <w:rsid w:val="008265FD"/>
    <w:rsid w:val="00826CE8"/>
    <w:rsid w:val="00827C04"/>
    <w:rsid w:val="00827DE6"/>
    <w:rsid w:val="008300EB"/>
    <w:rsid w:val="008301BF"/>
    <w:rsid w:val="0083132A"/>
    <w:rsid w:val="00831974"/>
    <w:rsid w:val="008324EA"/>
    <w:rsid w:val="00832A8B"/>
    <w:rsid w:val="00832F91"/>
    <w:rsid w:val="008336DF"/>
    <w:rsid w:val="00833CDE"/>
    <w:rsid w:val="008342DC"/>
    <w:rsid w:val="00834726"/>
    <w:rsid w:val="00834AED"/>
    <w:rsid w:val="00835201"/>
    <w:rsid w:val="00835B56"/>
    <w:rsid w:val="00835EAB"/>
    <w:rsid w:val="00836886"/>
    <w:rsid w:val="00836AE5"/>
    <w:rsid w:val="008375CE"/>
    <w:rsid w:val="00837854"/>
    <w:rsid w:val="0084029B"/>
    <w:rsid w:val="0084080A"/>
    <w:rsid w:val="00840885"/>
    <w:rsid w:val="00840FED"/>
    <w:rsid w:val="00841650"/>
    <w:rsid w:val="00841FE1"/>
    <w:rsid w:val="00842D70"/>
    <w:rsid w:val="00843591"/>
    <w:rsid w:val="00844A3C"/>
    <w:rsid w:val="00844B26"/>
    <w:rsid w:val="00844BD5"/>
    <w:rsid w:val="00846018"/>
    <w:rsid w:val="00847560"/>
    <w:rsid w:val="008506C4"/>
    <w:rsid w:val="00851CD5"/>
    <w:rsid w:val="00851E62"/>
    <w:rsid w:val="00852D1E"/>
    <w:rsid w:val="00852FE1"/>
    <w:rsid w:val="008530EB"/>
    <w:rsid w:val="0085352C"/>
    <w:rsid w:val="008551D9"/>
    <w:rsid w:val="00855C66"/>
    <w:rsid w:val="00857134"/>
    <w:rsid w:val="008575E2"/>
    <w:rsid w:val="00857F02"/>
    <w:rsid w:val="00861784"/>
    <w:rsid w:val="00861CB6"/>
    <w:rsid w:val="0086218C"/>
    <w:rsid w:val="008628BD"/>
    <w:rsid w:val="0086293E"/>
    <w:rsid w:val="00863602"/>
    <w:rsid w:val="00863C9A"/>
    <w:rsid w:val="00864FAA"/>
    <w:rsid w:val="0086578A"/>
    <w:rsid w:val="00866A41"/>
    <w:rsid w:val="00866DBA"/>
    <w:rsid w:val="00867800"/>
    <w:rsid w:val="00871859"/>
    <w:rsid w:val="00871C32"/>
    <w:rsid w:val="00871EE4"/>
    <w:rsid w:val="00872059"/>
    <w:rsid w:val="00872439"/>
    <w:rsid w:val="008729AC"/>
    <w:rsid w:val="00872B70"/>
    <w:rsid w:val="00873B8C"/>
    <w:rsid w:val="0087436B"/>
    <w:rsid w:val="0087609E"/>
    <w:rsid w:val="00876831"/>
    <w:rsid w:val="008770E6"/>
    <w:rsid w:val="00880DDD"/>
    <w:rsid w:val="00880F33"/>
    <w:rsid w:val="00881AD6"/>
    <w:rsid w:val="00881BF2"/>
    <w:rsid w:val="00881CB5"/>
    <w:rsid w:val="008826C4"/>
    <w:rsid w:val="008837D8"/>
    <w:rsid w:val="00883BA7"/>
    <w:rsid w:val="00884F7C"/>
    <w:rsid w:val="008851E2"/>
    <w:rsid w:val="00885482"/>
    <w:rsid w:val="00885D57"/>
    <w:rsid w:val="008863BD"/>
    <w:rsid w:val="00886820"/>
    <w:rsid w:val="00886CF6"/>
    <w:rsid w:val="00886EE5"/>
    <w:rsid w:val="00886F33"/>
    <w:rsid w:val="008901DE"/>
    <w:rsid w:val="0089212D"/>
    <w:rsid w:val="008928E5"/>
    <w:rsid w:val="008938C6"/>
    <w:rsid w:val="00894A6B"/>
    <w:rsid w:val="00894D29"/>
    <w:rsid w:val="008958B8"/>
    <w:rsid w:val="00896726"/>
    <w:rsid w:val="008969D9"/>
    <w:rsid w:val="00896DE7"/>
    <w:rsid w:val="00897C3E"/>
    <w:rsid w:val="008A1308"/>
    <w:rsid w:val="008A15BE"/>
    <w:rsid w:val="008A1641"/>
    <w:rsid w:val="008A1CC5"/>
    <w:rsid w:val="008A3F12"/>
    <w:rsid w:val="008A4121"/>
    <w:rsid w:val="008A417F"/>
    <w:rsid w:val="008A43BF"/>
    <w:rsid w:val="008A4D6B"/>
    <w:rsid w:val="008A5EBE"/>
    <w:rsid w:val="008A63A1"/>
    <w:rsid w:val="008A7ACE"/>
    <w:rsid w:val="008A7B67"/>
    <w:rsid w:val="008B00F7"/>
    <w:rsid w:val="008B0487"/>
    <w:rsid w:val="008B0D2B"/>
    <w:rsid w:val="008B103E"/>
    <w:rsid w:val="008B19D0"/>
    <w:rsid w:val="008B1EA3"/>
    <w:rsid w:val="008B224D"/>
    <w:rsid w:val="008B293F"/>
    <w:rsid w:val="008B305E"/>
    <w:rsid w:val="008B3DA8"/>
    <w:rsid w:val="008B3FF6"/>
    <w:rsid w:val="008B61D3"/>
    <w:rsid w:val="008B64AB"/>
    <w:rsid w:val="008B6745"/>
    <w:rsid w:val="008B6EEF"/>
    <w:rsid w:val="008B706E"/>
    <w:rsid w:val="008B7371"/>
    <w:rsid w:val="008B769E"/>
    <w:rsid w:val="008B7C44"/>
    <w:rsid w:val="008C053E"/>
    <w:rsid w:val="008C0A73"/>
    <w:rsid w:val="008C0B12"/>
    <w:rsid w:val="008C2114"/>
    <w:rsid w:val="008C28D5"/>
    <w:rsid w:val="008C3301"/>
    <w:rsid w:val="008C37B3"/>
    <w:rsid w:val="008C382F"/>
    <w:rsid w:val="008C3CB3"/>
    <w:rsid w:val="008C4335"/>
    <w:rsid w:val="008C5100"/>
    <w:rsid w:val="008C5833"/>
    <w:rsid w:val="008D0B22"/>
    <w:rsid w:val="008D1A79"/>
    <w:rsid w:val="008D2256"/>
    <w:rsid w:val="008D3180"/>
    <w:rsid w:val="008D3C11"/>
    <w:rsid w:val="008D3DDB"/>
    <w:rsid w:val="008D3FE6"/>
    <w:rsid w:val="008D40B9"/>
    <w:rsid w:val="008D4A4E"/>
    <w:rsid w:val="008D5B32"/>
    <w:rsid w:val="008D633B"/>
    <w:rsid w:val="008D65A5"/>
    <w:rsid w:val="008D714C"/>
    <w:rsid w:val="008D7BF9"/>
    <w:rsid w:val="008E0020"/>
    <w:rsid w:val="008E04AF"/>
    <w:rsid w:val="008E077D"/>
    <w:rsid w:val="008E0C96"/>
    <w:rsid w:val="008E11E8"/>
    <w:rsid w:val="008E25A9"/>
    <w:rsid w:val="008E2CB8"/>
    <w:rsid w:val="008E31C9"/>
    <w:rsid w:val="008E3692"/>
    <w:rsid w:val="008E5866"/>
    <w:rsid w:val="008E5DFA"/>
    <w:rsid w:val="008E63DE"/>
    <w:rsid w:val="008E7C74"/>
    <w:rsid w:val="008E7D76"/>
    <w:rsid w:val="008F0446"/>
    <w:rsid w:val="008F04EE"/>
    <w:rsid w:val="008F094F"/>
    <w:rsid w:val="008F09F3"/>
    <w:rsid w:val="008F0ADE"/>
    <w:rsid w:val="008F14BF"/>
    <w:rsid w:val="008F1AD0"/>
    <w:rsid w:val="008F2C5F"/>
    <w:rsid w:val="008F2FDD"/>
    <w:rsid w:val="008F47FB"/>
    <w:rsid w:val="008F5168"/>
    <w:rsid w:val="008F5712"/>
    <w:rsid w:val="008F573F"/>
    <w:rsid w:val="008F5A96"/>
    <w:rsid w:val="008F6E30"/>
    <w:rsid w:val="008F71C9"/>
    <w:rsid w:val="008F7357"/>
    <w:rsid w:val="008F7B0F"/>
    <w:rsid w:val="00900E48"/>
    <w:rsid w:val="009010A6"/>
    <w:rsid w:val="009014F9"/>
    <w:rsid w:val="00901B31"/>
    <w:rsid w:val="009023B2"/>
    <w:rsid w:val="009025E2"/>
    <w:rsid w:val="00902D09"/>
    <w:rsid w:val="009033D3"/>
    <w:rsid w:val="009034EC"/>
    <w:rsid w:val="00903A1F"/>
    <w:rsid w:val="0090421C"/>
    <w:rsid w:val="0090427E"/>
    <w:rsid w:val="00904460"/>
    <w:rsid w:val="009049F8"/>
    <w:rsid w:val="00905148"/>
    <w:rsid w:val="009054C8"/>
    <w:rsid w:val="009056CB"/>
    <w:rsid w:val="009056E5"/>
    <w:rsid w:val="00906C6C"/>
    <w:rsid w:val="0091057F"/>
    <w:rsid w:val="00911085"/>
    <w:rsid w:val="00911258"/>
    <w:rsid w:val="00912385"/>
    <w:rsid w:val="00912A21"/>
    <w:rsid w:val="00913543"/>
    <w:rsid w:val="00913723"/>
    <w:rsid w:val="00913CF1"/>
    <w:rsid w:val="00914E32"/>
    <w:rsid w:val="00916271"/>
    <w:rsid w:val="009167E2"/>
    <w:rsid w:val="009168D9"/>
    <w:rsid w:val="00916C63"/>
    <w:rsid w:val="00916DEC"/>
    <w:rsid w:val="00917ABD"/>
    <w:rsid w:val="009208BD"/>
    <w:rsid w:val="00920A26"/>
    <w:rsid w:val="009210B1"/>
    <w:rsid w:val="009215AB"/>
    <w:rsid w:val="00921926"/>
    <w:rsid w:val="00921C1C"/>
    <w:rsid w:val="00921E10"/>
    <w:rsid w:val="00922FB8"/>
    <w:rsid w:val="00923390"/>
    <w:rsid w:val="00923F99"/>
    <w:rsid w:val="00924310"/>
    <w:rsid w:val="009252DD"/>
    <w:rsid w:val="0092617C"/>
    <w:rsid w:val="00926250"/>
    <w:rsid w:val="00927B21"/>
    <w:rsid w:val="00927F20"/>
    <w:rsid w:val="009300E8"/>
    <w:rsid w:val="0093016B"/>
    <w:rsid w:val="0093067A"/>
    <w:rsid w:val="009306BD"/>
    <w:rsid w:val="00930C84"/>
    <w:rsid w:val="00930FE5"/>
    <w:rsid w:val="00931D0D"/>
    <w:rsid w:val="00932C45"/>
    <w:rsid w:val="00934C3F"/>
    <w:rsid w:val="00934D30"/>
    <w:rsid w:val="00934E6B"/>
    <w:rsid w:val="009367F2"/>
    <w:rsid w:val="0093682D"/>
    <w:rsid w:val="009370F6"/>
    <w:rsid w:val="009372F1"/>
    <w:rsid w:val="0094166B"/>
    <w:rsid w:val="00941C60"/>
    <w:rsid w:val="00941EC1"/>
    <w:rsid w:val="0094296A"/>
    <w:rsid w:val="00942D19"/>
    <w:rsid w:val="0094406C"/>
    <w:rsid w:val="00944F46"/>
    <w:rsid w:val="009459D9"/>
    <w:rsid w:val="00945D13"/>
    <w:rsid w:val="009461E7"/>
    <w:rsid w:val="00946232"/>
    <w:rsid w:val="0094642D"/>
    <w:rsid w:val="00946452"/>
    <w:rsid w:val="009464E4"/>
    <w:rsid w:val="009467E2"/>
    <w:rsid w:val="009477B5"/>
    <w:rsid w:val="00950257"/>
    <w:rsid w:val="00951390"/>
    <w:rsid w:val="00952FBA"/>
    <w:rsid w:val="009537F6"/>
    <w:rsid w:val="009559D8"/>
    <w:rsid w:val="00956274"/>
    <w:rsid w:val="00956A47"/>
    <w:rsid w:val="00956B53"/>
    <w:rsid w:val="00957365"/>
    <w:rsid w:val="009603A2"/>
    <w:rsid w:val="00960799"/>
    <w:rsid w:val="00960D9B"/>
    <w:rsid w:val="0096151C"/>
    <w:rsid w:val="009629D8"/>
    <w:rsid w:val="00963AF6"/>
    <w:rsid w:val="00964041"/>
    <w:rsid w:val="00964187"/>
    <w:rsid w:val="0096423B"/>
    <w:rsid w:val="0096438F"/>
    <w:rsid w:val="00966D42"/>
    <w:rsid w:val="009676E6"/>
    <w:rsid w:val="00970A75"/>
    <w:rsid w:val="009715B3"/>
    <w:rsid w:val="00971689"/>
    <w:rsid w:val="00971F45"/>
    <w:rsid w:val="0097282E"/>
    <w:rsid w:val="00973363"/>
    <w:rsid w:val="00973E90"/>
    <w:rsid w:val="0097428E"/>
    <w:rsid w:val="0097444F"/>
    <w:rsid w:val="00974852"/>
    <w:rsid w:val="00974C72"/>
    <w:rsid w:val="00975A23"/>
    <w:rsid w:val="00975B07"/>
    <w:rsid w:val="00976828"/>
    <w:rsid w:val="00976BCD"/>
    <w:rsid w:val="00977766"/>
    <w:rsid w:val="00977B0D"/>
    <w:rsid w:val="00980150"/>
    <w:rsid w:val="00980B4A"/>
    <w:rsid w:val="009821E2"/>
    <w:rsid w:val="00982FE7"/>
    <w:rsid w:val="009840A0"/>
    <w:rsid w:val="00986691"/>
    <w:rsid w:val="00986838"/>
    <w:rsid w:val="00986C7F"/>
    <w:rsid w:val="00990C2E"/>
    <w:rsid w:val="00991ACE"/>
    <w:rsid w:val="00992BCC"/>
    <w:rsid w:val="00993C06"/>
    <w:rsid w:val="00993DF6"/>
    <w:rsid w:val="009955BD"/>
    <w:rsid w:val="00996640"/>
    <w:rsid w:val="0099724D"/>
    <w:rsid w:val="00997855"/>
    <w:rsid w:val="009A00D0"/>
    <w:rsid w:val="009A076A"/>
    <w:rsid w:val="009A1444"/>
    <w:rsid w:val="009A32CA"/>
    <w:rsid w:val="009A3407"/>
    <w:rsid w:val="009A34AD"/>
    <w:rsid w:val="009A386D"/>
    <w:rsid w:val="009A3C01"/>
    <w:rsid w:val="009A477F"/>
    <w:rsid w:val="009A4AAB"/>
    <w:rsid w:val="009A52A9"/>
    <w:rsid w:val="009A68D9"/>
    <w:rsid w:val="009A70D3"/>
    <w:rsid w:val="009A764E"/>
    <w:rsid w:val="009A7DC3"/>
    <w:rsid w:val="009A7F0A"/>
    <w:rsid w:val="009AD73A"/>
    <w:rsid w:val="009B0200"/>
    <w:rsid w:val="009B0344"/>
    <w:rsid w:val="009B0C0A"/>
    <w:rsid w:val="009B11F3"/>
    <w:rsid w:val="009B19BD"/>
    <w:rsid w:val="009B381B"/>
    <w:rsid w:val="009B4BFF"/>
    <w:rsid w:val="009B5214"/>
    <w:rsid w:val="009B53AC"/>
    <w:rsid w:val="009B54F6"/>
    <w:rsid w:val="009B5B75"/>
    <w:rsid w:val="009B60B7"/>
    <w:rsid w:val="009B6D80"/>
    <w:rsid w:val="009B708C"/>
    <w:rsid w:val="009B76C1"/>
    <w:rsid w:val="009B78A1"/>
    <w:rsid w:val="009B7BF6"/>
    <w:rsid w:val="009C04BB"/>
    <w:rsid w:val="009C0CE9"/>
    <w:rsid w:val="009C177B"/>
    <w:rsid w:val="009C1C62"/>
    <w:rsid w:val="009C2548"/>
    <w:rsid w:val="009C2C96"/>
    <w:rsid w:val="009C4947"/>
    <w:rsid w:val="009C4B6E"/>
    <w:rsid w:val="009C59A8"/>
    <w:rsid w:val="009C59F4"/>
    <w:rsid w:val="009C5D8B"/>
    <w:rsid w:val="009C6C3A"/>
    <w:rsid w:val="009C6EA2"/>
    <w:rsid w:val="009C7082"/>
    <w:rsid w:val="009C79D5"/>
    <w:rsid w:val="009D0A36"/>
    <w:rsid w:val="009D32A0"/>
    <w:rsid w:val="009D7424"/>
    <w:rsid w:val="009E0AA3"/>
    <w:rsid w:val="009E156C"/>
    <w:rsid w:val="009E1B80"/>
    <w:rsid w:val="009E1C28"/>
    <w:rsid w:val="009E2067"/>
    <w:rsid w:val="009E2394"/>
    <w:rsid w:val="009E29FD"/>
    <w:rsid w:val="009E3C12"/>
    <w:rsid w:val="009E3D0A"/>
    <w:rsid w:val="009E4858"/>
    <w:rsid w:val="009E4C83"/>
    <w:rsid w:val="009E51FC"/>
    <w:rsid w:val="009E763E"/>
    <w:rsid w:val="009E7DDF"/>
    <w:rsid w:val="009F02E5"/>
    <w:rsid w:val="009F084A"/>
    <w:rsid w:val="009F0C23"/>
    <w:rsid w:val="009F176B"/>
    <w:rsid w:val="009F1D28"/>
    <w:rsid w:val="009F1E00"/>
    <w:rsid w:val="009F2D33"/>
    <w:rsid w:val="009F3585"/>
    <w:rsid w:val="009F3674"/>
    <w:rsid w:val="009F39BF"/>
    <w:rsid w:val="009F3F09"/>
    <w:rsid w:val="009F4103"/>
    <w:rsid w:val="009F605E"/>
    <w:rsid w:val="009F622C"/>
    <w:rsid w:val="009F6E25"/>
    <w:rsid w:val="009F6EEC"/>
    <w:rsid w:val="009F73E6"/>
    <w:rsid w:val="009F74A1"/>
    <w:rsid w:val="009F7618"/>
    <w:rsid w:val="00A00D44"/>
    <w:rsid w:val="00A018C3"/>
    <w:rsid w:val="00A0396D"/>
    <w:rsid w:val="00A03F16"/>
    <w:rsid w:val="00A04061"/>
    <w:rsid w:val="00A0437E"/>
    <w:rsid w:val="00A04782"/>
    <w:rsid w:val="00A04CDB"/>
    <w:rsid w:val="00A04D23"/>
    <w:rsid w:val="00A06743"/>
    <w:rsid w:val="00A06766"/>
    <w:rsid w:val="00A06C0A"/>
    <w:rsid w:val="00A07CA5"/>
    <w:rsid w:val="00A100B5"/>
    <w:rsid w:val="00A11423"/>
    <w:rsid w:val="00A11896"/>
    <w:rsid w:val="00A12649"/>
    <w:rsid w:val="00A12651"/>
    <w:rsid w:val="00A127A2"/>
    <w:rsid w:val="00A12EFA"/>
    <w:rsid w:val="00A12FC7"/>
    <w:rsid w:val="00A13765"/>
    <w:rsid w:val="00A13C4F"/>
    <w:rsid w:val="00A14A07"/>
    <w:rsid w:val="00A158FF"/>
    <w:rsid w:val="00A16329"/>
    <w:rsid w:val="00A16378"/>
    <w:rsid w:val="00A17140"/>
    <w:rsid w:val="00A17168"/>
    <w:rsid w:val="00A173DA"/>
    <w:rsid w:val="00A17470"/>
    <w:rsid w:val="00A20A6E"/>
    <w:rsid w:val="00A2107F"/>
    <w:rsid w:val="00A21278"/>
    <w:rsid w:val="00A21B12"/>
    <w:rsid w:val="00A22708"/>
    <w:rsid w:val="00A23C57"/>
    <w:rsid w:val="00A23CB8"/>
    <w:rsid w:val="00A23DF2"/>
    <w:rsid w:val="00A23F80"/>
    <w:rsid w:val="00A25DA3"/>
    <w:rsid w:val="00A2640F"/>
    <w:rsid w:val="00A269E3"/>
    <w:rsid w:val="00A2739C"/>
    <w:rsid w:val="00A319D7"/>
    <w:rsid w:val="00A31C7F"/>
    <w:rsid w:val="00A323CD"/>
    <w:rsid w:val="00A3285A"/>
    <w:rsid w:val="00A34DCE"/>
    <w:rsid w:val="00A34FA6"/>
    <w:rsid w:val="00A3508E"/>
    <w:rsid w:val="00A35903"/>
    <w:rsid w:val="00A35CAE"/>
    <w:rsid w:val="00A35FDB"/>
    <w:rsid w:val="00A36624"/>
    <w:rsid w:val="00A3669C"/>
    <w:rsid w:val="00A36BBB"/>
    <w:rsid w:val="00A36DE2"/>
    <w:rsid w:val="00A3721A"/>
    <w:rsid w:val="00A37830"/>
    <w:rsid w:val="00A401B2"/>
    <w:rsid w:val="00A40376"/>
    <w:rsid w:val="00A404ED"/>
    <w:rsid w:val="00A40EFD"/>
    <w:rsid w:val="00A413FC"/>
    <w:rsid w:val="00A4165B"/>
    <w:rsid w:val="00A41E50"/>
    <w:rsid w:val="00A41F12"/>
    <w:rsid w:val="00A427BA"/>
    <w:rsid w:val="00A4314B"/>
    <w:rsid w:val="00A43FC2"/>
    <w:rsid w:val="00A45220"/>
    <w:rsid w:val="00A46404"/>
    <w:rsid w:val="00A46CDF"/>
    <w:rsid w:val="00A46CED"/>
    <w:rsid w:val="00A46E98"/>
    <w:rsid w:val="00A46FE0"/>
    <w:rsid w:val="00A47484"/>
    <w:rsid w:val="00A5023A"/>
    <w:rsid w:val="00A50727"/>
    <w:rsid w:val="00A50EE8"/>
    <w:rsid w:val="00A51AFF"/>
    <w:rsid w:val="00A51D23"/>
    <w:rsid w:val="00A523F4"/>
    <w:rsid w:val="00A54385"/>
    <w:rsid w:val="00A5769D"/>
    <w:rsid w:val="00A619A0"/>
    <w:rsid w:val="00A62F6D"/>
    <w:rsid w:val="00A6352B"/>
    <w:rsid w:val="00A649F9"/>
    <w:rsid w:val="00A653DA"/>
    <w:rsid w:val="00A65A22"/>
    <w:rsid w:val="00A666B3"/>
    <w:rsid w:val="00A67465"/>
    <w:rsid w:val="00A67AD1"/>
    <w:rsid w:val="00A67BC1"/>
    <w:rsid w:val="00A701B5"/>
    <w:rsid w:val="00A70EFC"/>
    <w:rsid w:val="00A714BB"/>
    <w:rsid w:val="00A71F72"/>
    <w:rsid w:val="00A728FE"/>
    <w:rsid w:val="00A73F16"/>
    <w:rsid w:val="00A7477D"/>
    <w:rsid w:val="00A7478E"/>
    <w:rsid w:val="00A748F6"/>
    <w:rsid w:val="00A754A8"/>
    <w:rsid w:val="00A764BE"/>
    <w:rsid w:val="00A76EB2"/>
    <w:rsid w:val="00A76EF6"/>
    <w:rsid w:val="00A774A7"/>
    <w:rsid w:val="00A774B4"/>
    <w:rsid w:val="00A77659"/>
    <w:rsid w:val="00A80308"/>
    <w:rsid w:val="00A80B23"/>
    <w:rsid w:val="00A81280"/>
    <w:rsid w:val="00A81EC0"/>
    <w:rsid w:val="00A81FEA"/>
    <w:rsid w:val="00A824EB"/>
    <w:rsid w:val="00A826A2"/>
    <w:rsid w:val="00A82AF9"/>
    <w:rsid w:val="00A82D35"/>
    <w:rsid w:val="00A84B32"/>
    <w:rsid w:val="00A850A8"/>
    <w:rsid w:val="00A8542D"/>
    <w:rsid w:val="00A859C0"/>
    <w:rsid w:val="00A85B0E"/>
    <w:rsid w:val="00A8642C"/>
    <w:rsid w:val="00A874E3"/>
    <w:rsid w:val="00A90B00"/>
    <w:rsid w:val="00A91B9B"/>
    <w:rsid w:val="00A9244B"/>
    <w:rsid w:val="00A926CD"/>
    <w:rsid w:val="00A92D8F"/>
    <w:rsid w:val="00A93165"/>
    <w:rsid w:val="00A93767"/>
    <w:rsid w:val="00A94C30"/>
    <w:rsid w:val="00A960F1"/>
    <w:rsid w:val="00AA0426"/>
    <w:rsid w:val="00AA0D7B"/>
    <w:rsid w:val="00AA1967"/>
    <w:rsid w:val="00AA3702"/>
    <w:rsid w:val="00AA3FEF"/>
    <w:rsid w:val="00AA40D9"/>
    <w:rsid w:val="00AA5C3C"/>
    <w:rsid w:val="00AA5D03"/>
    <w:rsid w:val="00AA6A97"/>
    <w:rsid w:val="00AA6DE1"/>
    <w:rsid w:val="00AA7EA6"/>
    <w:rsid w:val="00AB00FB"/>
    <w:rsid w:val="00AB0E9B"/>
    <w:rsid w:val="00AB24EA"/>
    <w:rsid w:val="00AB2988"/>
    <w:rsid w:val="00AB447D"/>
    <w:rsid w:val="00AB62F0"/>
    <w:rsid w:val="00AB6A97"/>
    <w:rsid w:val="00AB6B54"/>
    <w:rsid w:val="00AB7999"/>
    <w:rsid w:val="00AC02D0"/>
    <w:rsid w:val="00AC0548"/>
    <w:rsid w:val="00AC1715"/>
    <w:rsid w:val="00AC1B8F"/>
    <w:rsid w:val="00AC2091"/>
    <w:rsid w:val="00AC3073"/>
    <w:rsid w:val="00AC3160"/>
    <w:rsid w:val="00AC4174"/>
    <w:rsid w:val="00AC4AEB"/>
    <w:rsid w:val="00AC524F"/>
    <w:rsid w:val="00AC64A2"/>
    <w:rsid w:val="00AC659B"/>
    <w:rsid w:val="00AC7646"/>
    <w:rsid w:val="00AD0B26"/>
    <w:rsid w:val="00AD0F9E"/>
    <w:rsid w:val="00AD186F"/>
    <w:rsid w:val="00AD204C"/>
    <w:rsid w:val="00AD3240"/>
    <w:rsid w:val="00AD3292"/>
    <w:rsid w:val="00AD3649"/>
    <w:rsid w:val="00AD4288"/>
    <w:rsid w:val="00AD4D77"/>
    <w:rsid w:val="00AD51BB"/>
    <w:rsid w:val="00AD633A"/>
    <w:rsid w:val="00AD68C0"/>
    <w:rsid w:val="00AD73AE"/>
    <w:rsid w:val="00AD74C1"/>
    <w:rsid w:val="00AD7C78"/>
    <w:rsid w:val="00AE0FB9"/>
    <w:rsid w:val="00AE0FC6"/>
    <w:rsid w:val="00AE303E"/>
    <w:rsid w:val="00AE4038"/>
    <w:rsid w:val="00AE4CFC"/>
    <w:rsid w:val="00AE5103"/>
    <w:rsid w:val="00AE6486"/>
    <w:rsid w:val="00AE6ECD"/>
    <w:rsid w:val="00AE7AF0"/>
    <w:rsid w:val="00AE7BB8"/>
    <w:rsid w:val="00AE7FB5"/>
    <w:rsid w:val="00AF0342"/>
    <w:rsid w:val="00AF0804"/>
    <w:rsid w:val="00AF12D3"/>
    <w:rsid w:val="00AF1E8E"/>
    <w:rsid w:val="00AF300F"/>
    <w:rsid w:val="00AF33AA"/>
    <w:rsid w:val="00AF3650"/>
    <w:rsid w:val="00AF386F"/>
    <w:rsid w:val="00AF59B9"/>
    <w:rsid w:val="00AF614F"/>
    <w:rsid w:val="00AF7460"/>
    <w:rsid w:val="00AF7702"/>
    <w:rsid w:val="00AF7CAE"/>
    <w:rsid w:val="00AF7D7F"/>
    <w:rsid w:val="00AF7E6D"/>
    <w:rsid w:val="00AF7F5D"/>
    <w:rsid w:val="00B005B6"/>
    <w:rsid w:val="00B01C45"/>
    <w:rsid w:val="00B01DB7"/>
    <w:rsid w:val="00B01E78"/>
    <w:rsid w:val="00B0238A"/>
    <w:rsid w:val="00B02477"/>
    <w:rsid w:val="00B02A94"/>
    <w:rsid w:val="00B02C0B"/>
    <w:rsid w:val="00B03EBC"/>
    <w:rsid w:val="00B049DB"/>
    <w:rsid w:val="00B05B37"/>
    <w:rsid w:val="00B0666D"/>
    <w:rsid w:val="00B071A0"/>
    <w:rsid w:val="00B10104"/>
    <w:rsid w:val="00B10131"/>
    <w:rsid w:val="00B10DA0"/>
    <w:rsid w:val="00B11B9B"/>
    <w:rsid w:val="00B123AC"/>
    <w:rsid w:val="00B12C65"/>
    <w:rsid w:val="00B12DC2"/>
    <w:rsid w:val="00B12EBD"/>
    <w:rsid w:val="00B134A6"/>
    <w:rsid w:val="00B13CEC"/>
    <w:rsid w:val="00B14E76"/>
    <w:rsid w:val="00B153AB"/>
    <w:rsid w:val="00B160C5"/>
    <w:rsid w:val="00B17804"/>
    <w:rsid w:val="00B17D4B"/>
    <w:rsid w:val="00B2061D"/>
    <w:rsid w:val="00B20A86"/>
    <w:rsid w:val="00B223CB"/>
    <w:rsid w:val="00B22FEE"/>
    <w:rsid w:val="00B244A1"/>
    <w:rsid w:val="00B32485"/>
    <w:rsid w:val="00B32808"/>
    <w:rsid w:val="00B32995"/>
    <w:rsid w:val="00B3433C"/>
    <w:rsid w:val="00B353DC"/>
    <w:rsid w:val="00B356DD"/>
    <w:rsid w:val="00B35BCC"/>
    <w:rsid w:val="00B36454"/>
    <w:rsid w:val="00B37A6D"/>
    <w:rsid w:val="00B37BB6"/>
    <w:rsid w:val="00B37C04"/>
    <w:rsid w:val="00B40416"/>
    <w:rsid w:val="00B40AB5"/>
    <w:rsid w:val="00B41155"/>
    <w:rsid w:val="00B417C8"/>
    <w:rsid w:val="00B41A06"/>
    <w:rsid w:val="00B41B39"/>
    <w:rsid w:val="00B41BFF"/>
    <w:rsid w:val="00B41F0A"/>
    <w:rsid w:val="00B422D2"/>
    <w:rsid w:val="00B42894"/>
    <w:rsid w:val="00B43003"/>
    <w:rsid w:val="00B436A9"/>
    <w:rsid w:val="00B43A09"/>
    <w:rsid w:val="00B440F2"/>
    <w:rsid w:val="00B44DFE"/>
    <w:rsid w:val="00B44E1B"/>
    <w:rsid w:val="00B45680"/>
    <w:rsid w:val="00B46930"/>
    <w:rsid w:val="00B470CA"/>
    <w:rsid w:val="00B47379"/>
    <w:rsid w:val="00B475FF"/>
    <w:rsid w:val="00B47645"/>
    <w:rsid w:val="00B47B2D"/>
    <w:rsid w:val="00B500CA"/>
    <w:rsid w:val="00B52196"/>
    <w:rsid w:val="00B5252B"/>
    <w:rsid w:val="00B537C2"/>
    <w:rsid w:val="00B53E44"/>
    <w:rsid w:val="00B53FB6"/>
    <w:rsid w:val="00B5453F"/>
    <w:rsid w:val="00B5534E"/>
    <w:rsid w:val="00B55494"/>
    <w:rsid w:val="00B55AA7"/>
    <w:rsid w:val="00B60A9C"/>
    <w:rsid w:val="00B60AE2"/>
    <w:rsid w:val="00B60C39"/>
    <w:rsid w:val="00B611A1"/>
    <w:rsid w:val="00B61346"/>
    <w:rsid w:val="00B61C6A"/>
    <w:rsid w:val="00B622DA"/>
    <w:rsid w:val="00B62DCE"/>
    <w:rsid w:val="00B63346"/>
    <w:rsid w:val="00B641D9"/>
    <w:rsid w:val="00B6503D"/>
    <w:rsid w:val="00B66019"/>
    <w:rsid w:val="00B664FC"/>
    <w:rsid w:val="00B668EE"/>
    <w:rsid w:val="00B66BE1"/>
    <w:rsid w:val="00B67124"/>
    <w:rsid w:val="00B67ECE"/>
    <w:rsid w:val="00B70874"/>
    <w:rsid w:val="00B70FD8"/>
    <w:rsid w:val="00B71057"/>
    <w:rsid w:val="00B71CA0"/>
    <w:rsid w:val="00B72ACD"/>
    <w:rsid w:val="00B7324D"/>
    <w:rsid w:val="00B734E5"/>
    <w:rsid w:val="00B7385B"/>
    <w:rsid w:val="00B74923"/>
    <w:rsid w:val="00B7590C"/>
    <w:rsid w:val="00B76175"/>
    <w:rsid w:val="00B77A3B"/>
    <w:rsid w:val="00B806A1"/>
    <w:rsid w:val="00B8084E"/>
    <w:rsid w:val="00B8090F"/>
    <w:rsid w:val="00B80C36"/>
    <w:rsid w:val="00B82BB5"/>
    <w:rsid w:val="00B834BD"/>
    <w:rsid w:val="00B83F15"/>
    <w:rsid w:val="00B842D6"/>
    <w:rsid w:val="00B846C6"/>
    <w:rsid w:val="00B84D7D"/>
    <w:rsid w:val="00B859F5"/>
    <w:rsid w:val="00B85B99"/>
    <w:rsid w:val="00B86314"/>
    <w:rsid w:val="00B87030"/>
    <w:rsid w:val="00B87077"/>
    <w:rsid w:val="00B87386"/>
    <w:rsid w:val="00B87535"/>
    <w:rsid w:val="00B906CA"/>
    <w:rsid w:val="00B90A82"/>
    <w:rsid w:val="00B90B09"/>
    <w:rsid w:val="00B92077"/>
    <w:rsid w:val="00B9233C"/>
    <w:rsid w:val="00B925BA"/>
    <w:rsid w:val="00B92AA5"/>
    <w:rsid w:val="00B93514"/>
    <w:rsid w:val="00B936A4"/>
    <w:rsid w:val="00B937D2"/>
    <w:rsid w:val="00B93876"/>
    <w:rsid w:val="00B94D18"/>
    <w:rsid w:val="00B952A0"/>
    <w:rsid w:val="00B954BE"/>
    <w:rsid w:val="00B95627"/>
    <w:rsid w:val="00B95A9C"/>
    <w:rsid w:val="00B968EC"/>
    <w:rsid w:val="00B96D44"/>
    <w:rsid w:val="00B977D2"/>
    <w:rsid w:val="00B97D58"/>
    <w:rsid w:val="00BA09C7"/>
    <w:rsid w:val="00BA1643"/>
    <w:rsid w:val="00BA1C2E"/>
    <w:rsid w:val="00BA1DD0"/>
    <w:rsid w:val="00BA46FF"/>
    <w:rsid w:val="00BA65AD"/>
    <w:rsid w:val="00BA6A54"/>
    <w:rsid w:val="00BA718D"/>
    <w:rsid w:val="00BA740F"/>
    <w:rsid w:val="00BB0593"/>
    <w:rsid w:val="00BB0DCE"/>
    <w:rsid w:val="00BB12F0"/>
    <w:rsid w:val="00BB1A48"/>
    <w:rsid w:val="00BB1B1E"/>
    <w:rsid w:val="00BB1BD0"/>
    <w:rsid w:val="00BB2452"/>
    <w:rsid w:val="00BB318F"/>
    <w:rsid w:val="00BB39F9"/>
    <w:rsid w:val="00BB3BC1"/>
    <w:rsid w:val="00BB420C"/>
    <w:rsid w:val="00BB6A43"/>
    <w:rsid w:val="00BB6E99"/>
    <w:rsid w:val="00BB74FC"/>
    <w:rsid w:val="00BC02F9"/>
    <w:rsid w:val="00BC04CF"/>
    <w:rsid w:val="00BC0D44"/>
    <w:rsid w:val="00BC1557"/>
    <w:rsid w:val="00BC1A47"/>
    <w:rsid w:val="00BC1C2C"/>
    <w:rsid w:val="00BC1CBA"/>
    <w:rsid w:val="00BC1CE1"/>
    <w:rsid w:val="00BC1F43"/>
    <w:rsid w:val="00BC200B"/>
    <w:rsid w:val="00BC254C"/>
    <w:rsid w:val="00BC2EAA"/>
    <w:rsid w:val="00BC3CC7"/>
    <w:rsid w:val="00BC4756"/>
    <w:rsid w:val="00BC47BE"/>
    <w:rsid w:val="00BC4B78"/>
    <w:rsid w:val="00BC4C9D"/>
    <w:rsid w:val="00BC54ED"/>
    <w:rsid w:val="00BC5EEE"/>
    <w:rsid w:val="00BC60E7"/>
    <w:rsid w:val="00BC69A4"/>
    <w:rsid w:val="00BC73EE"/>
    <w:rsid w:val="00BC7571"/>
    <w:rsid w:val="00BD1150"/>
    <w:rsid w:val="00BD1166"/>
    <w:rsid w:val="00BD17B6"/>
    <w:rsid w:val="00BD268D"/>
    <w:rsid w:val="00BD2934"/>
    <w:rsid w:val="00BD35B0"/>
    <w:rsid w:val="00BD3B6D"/>
    <w:rsid w:val="00BD3F76"/>
    <w:rsid w:val="00BD5867"/>
    <w:rsid w:val="00BD6000"/>
    <w:rsid w:val="00BD6B10"/>
    <w:rsid w:val="00BD74F7"/>
    <w:rsid w:val="00BE0680"/>
    <w:rsid w:val="00BE305F"/>
    <w:rsid w:val="00BE34C3"/>
    <w:rsid w:val="00BE42B9"/>
    <w:rsid w:val="00BE5399"/>
    <w:rsid w:val="00BE578F"/>
    <w:rsid w:val="00BE5A97"/>
    <w:rsid w:val="00BE608B"/>
    <w:rsid w:val="00BE711F"/>
    <w:rsid w:val="00BE7587"/>
    <w:rsid w:val="00BE7BA3"/>
    <w:rsid w:val="00BF0507"/>
    <w:rsid w:val="00BF1274"/>
    <w:rsid w:val="00BF1490"/>
    <w:rsid w:val="00BF1CBF"/>
    <w:rsid w:val="00BF2AF4"/>
    <w:rsid w:val="00BF4CAC"/>
    <w:rsid w:val="00BF4D72"/>
    <w:rsid w:val="00BF4EE9"/>
    <w:rsid w:val="00BF5368"/>
    <w:rsid w:val="00BF55ED"/>
    <w:rsid w:val="00BF5682"/>
    <w:rsid w:val="00BF61C3"/>
    <w:rsid w:val="00BF64D9"/>
    <w:rsid w:val="00BF66A1"/>
    <w:rsid w:val="00BF7B09"/>
    <w:rsid w:val="00C003D2"/>
    <w:rsid w:val="00C0059E"/>
    <w:rsid w:val="00C00652"/>
    <w:rsid w:val="00C0079F"/>
    <w:rsid w:val="00C00962"/>
    <w:rsid w:val="00C00F7E"/>
    <w:rsid w:val="00C0174C"/>
    <w:rsid w:val="00C019D9"/>
    <w:rsid w:val="00C01D23"/>
    <w:rsid w:val="00C020E8"/>
    <w:rsid w:val="00C0333E"/>
    <w:rsid w:val="00C0340F"/>
    <w:rsid w:val="00C03EC1"/>
    <w:rsid w:val="00C03F57"/>
    <w:rsid w:val="00C041B6"/>
    <w:rsid w:val="00C041CA"/>
    <w:rsid w:val="00C0425E"/>
    <w:rsid w:val="00C045EC"/>
    <w:rsid w:val="00C0509E"/>
    <w:rsid w:val="00C06B7C"/>
    <w:rsid w:val="00C06D7F"/>
    <w:rsid w:val="00C1061D"/>
    <w:rsid w:val="00C1074D"/>
    <w:rsid w:val="00C10B9F"/>
    <w:rsid w:val="00C10C69"/>
    <w:rsid w:val="00C11950"/>
    <w:rsid w:val="00C11BBF"/>
    <w:rsid w:val="00C12470"/>
    <w:rsid w:val="00C13033"/>
    <w:rsid w:val="00C150F9"/>
    <w:rsid w:val="00C1536F"/>
    <w:rsid w:val="00C154B7"/>
    <w:rsid w:val="00C1566C"/>
    <w:rsid w:val="00C20A95"/>
    <w:rsid w:val="00C20C9E"/>
    <w:rsid w:val="00C21A75"/>
    <w:rsid w:val="00C21DFA"/>
    <w:rsid w:val="00C22B37"/>
    <w:rsid w:val="00C2325B"/>
    <w:rsid w:val="00C23A15"/>
    <w:rsid w:val="00C23F79"/>
    <w:rsid w:val="00C244A0"/>
    <w:rsid w:val="00C25AD8"/>
    <w:rsid w:val="00C25E6D"/>
    <w:rsid w:val="00C2674F"/>
    <w:rsid w:val="00C2692F"/>
    <w:rsid w:val="00C27135"/>
    <w:rsid w:val="00C30349"/>
    <w:rsid w:val="00C30EA5"/>
    <w:rsid w:val="00C316D8"/>
    <w:rsid w:val="00C3207C"/>
    <w:rsid w:val="00C32898"/>
    <w:rsid w:val="00C32BB4"/>
    <w:rsid w:val="00C32C81"/>
    <w:rsid w:val="00C337BE"/>
    <w:rsid w:val="00C34670"/>
    <w:rsid w:val="00C34806"/>
    <w:rsid w:val="00C3487F"/>
    <w:rsid w:val="00C34ACE"/>
    <w:rsid w:val="00C34C5E"/>
    <w:rsid w:val="00C34DA9"/>
    <w:rsid w:val="00C36523"/>
    <w:rsid w:val="00C3726F"/>
    <w:rsid w:val="00C3769D"/>
    <w:rsid w:val="00C377A0"/>
    <w:rsid w:val="00C37858"/>
    <w:rsid w:val="00C3791C"/>
    <w:rsid w:val="00C400E1"/>
    <w:rsid w:val="00C4015E"/>
    <w:rsid w:val="00C409DB"/>
    <w:rsid w:val="00C41187"/>
    <w:rsid w:val="00C41ADA"/>
    <w:rsid w:val="00C41F49"/>
    <w:rsid w:val="00C420ED"/>
    <w:rsid w:val="00C4353B"/>
    <w:rsid w:val="00C43F97"/>
    <w:rsid w:val="00C44623"/>
    <w:rsid w:val="00C44A73"/>
    <w:rsid w:val="00C44C81"/>
    <w:rsid w:val="00C44D88"/>
    <w:rsid w:val="00C4544C"/>
    <w:rsid w:val="00C46368"/>
    <w:rsid w:val="00C46968"/>
    <w:rsid w:val="00C46F4F"/>
    <w:rsid w:val="00C50314"/>
    <w:rsid w:val="00C50567"/>
    <w:rsid w:val="00C506C5"/>
    <w:rsid w:val="00C512A1"/>
    <w:rsid w:val="00C51336"/>
    <w:rsid w:val="00C51D7B"/>
    <w:rsid w:val="00C51FCB"/>
    <w:rsid w:val="00C52127"/>
    <w:rsid w:val="00C53349"/>
    <w:rsid w:val="00C53492"/>
    <w:rsid w:val="00C54701"/>
    <w:rsid w:val="00C54BB7"/>
    <w:rsid w:val="00C54C47"/>
    <w:rsid w:val="00C55195"/>
    <w:rsid w:val="00C55F6B"/>
    <w:rsid w:val="00C5725B"/>
    <w:rsid w:val="00C60772"/>
    <w:rsid w:val="00C6078C"/>
    <w:rsid w:val="00C60815"/>
    <w:rsid w:val="00C60E1D"/>
    <w:rsid w:val="00C61B4A"/>
    <w:rsid w:val="00C62E46"/>
    <w:rsid w:val="00C63C31"/>
    <w:rsid w:val="00C65275"/>
    <w:rsid w:val="00C655B4"/>
    <w:rsid w:val="00C656B2"/>
    <w:rsid w:val="00C66425"/>
    <w:rsid w:val="00C66DAD"/>
    <w:rsid w:val="00C706F8"/>
    <w:rsid w:val="00C71217"/>
    <w:rsid w:val="00C71BC5"/>
    <w:rsid w:val="00C71E47"/>
    <w:rsid w:val="00C73206"/>
    <w:rsid w:val="00C733A4"/>
    <w:rsid w:val="00C7400C"/>
    <w:rsid w:val="00C75517"/>
    <w:rsid w:val="00C757A0"/>
    <w:rsid w:val="00C757BB"/>
    <w:rsid w:val="00C760DE"/>
    <w:rsid w:val="00C77025"/>
    <w:rsid w:val="00C7704B"/>
    <w:rsid w:val="00C777B4"/>
    <w:rsid w:val="00C778F4"/>
    <w:rsid w:val="00C77B24"/>
    <w:rsid w:val="00C80AFB"/>
    <w:rsid w:val="00C80E03"/>
    <w:rsid w:val="00C813E1"/>
    <w:rsid w:val="00C8160D"/>
    <w:rsid w:val="00C81E73"/>
    <w:rsid w:val="00C82477"/>
    <w:rsid w:val="00C82630"/>
    <w:rsid w:val="00C8360A"/>
    <w:rsid w:val="00C83C13"/>
    <w:rsid w:val="00C845F5"/>
    <w:rsid w:val="00C84C29"/>
    <w:rsid w:val="00C85B4E"/>
    <w:rsid w:val="00C85CAD"/>
    <w:rsid w:val="00C86CCA"/>
    <w:rsid w:val="00C8716E"/>
    <w:rsid w:val="00C8750C"/>
    <w:rsid w:val="00C907F7"/>
    <w:rsid w:val="00C912CA"/>
    <w:rsid w:val="00C91819"/>
    <w:rsid w:val="00C9255E"/>
    <w:rsid w:val="00C92C66"/>
    <w:rsid w:val="00C92CB1"/>
    <w:rsid w:val="00C94EE4"/>
    <w:rsid w:val="00C96C7F"/>
    <w:rsid w:val="00C97749"/>
    <w:rsid w:val="00C97974"/>
    <w:rsid w:val="00CA0195"/>
    <w:rsid w:val="00CA0771"/>
    <w:rsid w:val="00CA1E43"/>
    <w:rsid w:val="00CA2103"/>
    <w:rsid w:val="00CA21B4"/>
    <w:rsid w:val="00CA2737"/>
    <w:rsid w:val="00CA29DB"/>
    <w:rsid w:val="00CA32BE"/>
    <w:rsid w:val="00CA3E7B"/>
    <w:rsid w:val="00CA4752"/>
    <w:rsid w:val="00CA48C5"/>
    <w:rsid w:val="00CA48FF"/>
    <w:rsid w:val="00CA57EE"/>
    <w:rsid w:val="00CA6BAC"/>
    <w:rsid w:val="00CA71F4"/>
    <w:rsid w:val="00CA76C2"/>
    <w:rsid w:val="00CB002F"/>
    <w:rsid w:val="00CB0109"/>
    <w:rsid w:val="00CB0FCF"/>
    <w:rsid w:val="00CB1229"/>
    <w:rsid w:val="00CB1408"/>
    <w:rsid w:val="00CB36C6"/>
    <w:rsid w:val="00CB3D91"/>
    <w:rsid w:val="00CB3E8C"/>
    <w:rsid w:val="00CB3F4D"/>
    <w:rsid w:val="00CB425C"/>
    <w:rsid w:val="00CB54B0"/>
    <w:rsid w:val="00CB6834"/>
    <w:rsid w:val="00CB6B99"/>
    <w:rsid w:val="00CB79E0"/>
    <w:rsid w:val="00CC0A43"/>
    <w:rsid w:val="00CC0CCD"/>
    <w:rsid w:val="00CC139B"/>
    <w:rsid w:val="00CC18EE"/>
    <w:rsid w:val="00CC1A85"/>
    <w:rsid w:val="00CC1BDA"/>
    <w:rsid w:val="00CC2459"/>
    <w:rsid w:val="00CC343F"/>
    <w:rsid w:val="00CC3C84"/>
    <w:rsid w:val="00CC3D22"/>
    <w:rsid w:val="00CC4280"/>
    <w:rsid w:val="00CC432E"/>
    <w:rsid w:val="00CC4B75"/>
    <w:rsid w:val="00CC4B98"/>
    <w:rsid w:val="00CC5790"/>
    <w:rsid w:val="00CC59C6"/>
    <w:rsid w:val="00CC6BAB"/>
    <w:rsid w:val="00CC6C64"/>
    <w:rsid w:val="00CC7CE1"/>
    <w:rsid w:val="00CD0432"/>
    <w:rsid w:val="00CD211A"/>
    <w:rsid w:val="00CD3A2C"/>
    <w:rsid w:val="00CD3A74"/>
    <w:rsid w:val="00CD5E8E"/>
    <w:rsid w:val="00CD6231"/>
    <w:rsid w:val="00CD665C"/>
    <w:rsid w:val="00CD6F77"/>
    <w:rsid w:val="00CE0E9A"/>
    <w:rsid w:val="00CE1590"/>
    <w:rsid w:val="00CE1FDF"/>
    <w:rsid w:val="00CE22BA"/>
    <w:rsid w:val="00CE2954"/>
    <w:rsid w:val="00CE4039"/>
    <w:rsid w:val="00CE41F1"/>
    <w:rsid w:val="00CE42D6"/>
    <w:rsid w:val="00CE4C87"/>
    <w:rsid w:val="00CE4DF9"/>
    <w:rsid w:val="00CE544A"/>
    <w:rsid w:val="00CE556F"/>
    <w:rsid w:val="00CE6D84"/>
    <w:rsid w:val="00CE7CD7"/>
    <w:rsid w:val="00CF02A4"/>
    <w:rsid w:val="00CF0909"/>
    <w:rsid w:val="00CF2829"/>
    <w:rsid w:val="00CF2AD8"/>
    <w:rsid w:val="00CF2C08"/>
    <w:rsid w:val="00CF36F2"/>
    <w:rsid w:val="00CF37AD"/>
    <w:rsid w:val="00CF3D6D"/>
    <w:rsid w:val="00CF4AF3"/>
    <w:rsid w:val="00CF5075"/>
    <w:rsid w:val="00CF5821"/>
    <w:rsid w:val="00CF58EC"/>
    <w:rsid w:val="00CF60CE"/>
    <w:rsid w:val="00CF76D9"/>
    <w:rsid w:val="00CF795B"/>
    <w:rsid w:val="00D014B2"/>
    <w:rsid w:val="00D01880"/>
    <w:rsid w:val="00D01CA9"/>
    <w:rsid w:val="00D03170"/>
    <w:rsid w:val="00D04C25"/>
    <w:rsid w:val="00D05A74"/>
    <w:rsid w:val="00D06841"/>
    <w:rsid w:val="00D0745E"/>
    <w:rsid w:val="00D07C4F"/>
    <w:rsid w:val="00D07CC1"/>
    <w:rsid w:val="00D1087D"/>
    <w:rsid w:val="00D10B07"/>
    <w:rsid w:val="00D11E1C"/>
    <w:rsid w:val="00D12262"/>
    <w:rsid w:val="00D122CB"/>
    <w:rsid w:val="00D1323E"/>
    <w:rsid w:val="00D14A87"/>
    <w:rsid w:val="00D15311"/>
    <w:rsid w:val="00D160B0"/>
    <w:rsid w:val="00D16593"/>
    <w:rsid w:val="00D169B8"/>
    <w:rsid w:val="00D170C7"/>
    <w:rsid w:val="00D17F94"/>
    <w:rsid w:val="00D20316"/>
    <w:rsid w:val="00D2163E"/>
    <w:rsid w:val="00D21C23"/>
    <w:rsid w:val="00D222B9"/>
    <w:rsid w:val="00D223FC"/>
    <w:rsid w:val="00D22960"/>
    <w:rsid w:val="00D23887"/>
    <w:rsid w:val="00D23E56"/>
    <w:rsid w:val="00D241FF"/>
    <w:rsid w:val="00D245B8"/>
    <w:rsid w:val="00D24FF1"/>
    <w:rsid w:val="00D25A03"/>
    <w:rsid w:val="00D26D1E"/>
    <w:rsid w:val="00D270F5"/>
    <w:rsid w:val="00D27E42"/>
    <w:rsid w:val="00D30B14"/>
    <w:rsid w:val="00D318BA"/>
    <w:rsid w:val="00D31EF3"/>
    <w:rsid w:val="00D31F15"/>
    <w:rsid w:val="00D32046"/>
    <w:rsid w:val="00D32FBB"/>
    <w:rsid w:val="00D34646"/>
    <w:rsid w:val="00D34875"/>
    <w:rsid w:val="00D35211"/>
    <w:rsid w:val="00D354EF"/>
    <w:rsid w:val="00D36B34"/>
    <w:rsid w:val="00D379F5"/>
    <w:rsid w:val="00D4040D"/>
    <w:rsid w:val="00D41386"/>
    <w:rsid w:val="00D41A9C"/>
    <w:rsid w:val="00D42DFE"/>
    <w:rsid w:val="00D434EC"/>
    <w:rsid w:val="00D43CE9"/>
    <w:rsid w:val="00D44685"/>
    <w:rsid w:val="00D44763"/>
    <w:rsid w:val="00D44DD0"/>
    <w:rsid w:val="00D45DF3"/>
    <w:rsid w:val="00D45E2B"/>
    <w:rsid w:val="00D46266"/>
    <w:rsid w:val="00D465AD"/>
    <w:rsid w:val="00D474CF"/>
    <w:rsid w:val="00D5099D"/>
    <w:rsid w:val="00D517D3"/>
    <w:rsid w:val="00D51A4D"/>
    <w:rsid w:val="00D54D2C"/>
    <w:rsid w:val="00D5547E"/>
    <w:rsid w:val="00D560C3"/>
    <w:rsid w:val="00D56E95"/>
    <w:rsid w:val="00D57303"/>
    <w:rsid w:val="00D60232"/>
    <w:rsid w:val="00D6078B"/>
    <w:rsid w:val="00D61122"/>
    <w:rsid w:val="00D612B7"/>
    <w:rsid w:val="00D628B9"/>
    <w:rsid w:val="00D62B04"/>
    <w:rsid w:val="00D63856"/>
    <w:rsid w:val="00D643DF"/>
    <w:rsid w:val="00D64A02"/>
    <w:rsid w:val="00D64F79"/>
    <w:rsid w:val="00D651B4"/>
    <w:rsid w:val="00D65AA0"/>
    <w:rsid w:val="00D6659B"/>
    <w:rsid w:val="00D6704C"/>
    <w:rsid w:val="00D7046B"/>
    <w:rsid w:val="00D707D8"/>
    <w:rsid w:val="00D710C4"/>
    <w:rsid w:val="00D71DDE"/>
    <w:rsid w:val="00D72423"/>
    <w:rsid w:val="00D72CD0"/>
    <w:rsid w:val="00D7304C"/>
    <w:rsid w:val="00D7341A"/>
    <w:rsid w:val="00D737C2"/>
    <w:rsid w:val="00D73AF8"/>
    <w:rsid w:val="00D73BF6"/>
    <w:rsid w:val="00D75787"/>
    <w:rsid w:val="00D75C50"/>
    <w:rsid w:val="00D76093"/>
    <w:rsid w:val="00D7667D"/>
    <w:rsid w:val="00D76AA5"/>
    <w:rsid w:val="00D76FCA"/>
    <w:rsid w:val="00D771EF"/>
    <w:rsid w:val="00D77B2E"/>
    <w:rsid w:val="00D800AF"/>
    <w:rsid w:val="00D80BE2"/>
    <w:rsid w:val="00D817BF"/>
    <w:rsid w:val="00D819B3"/>
    <w:rsid w:val="00D8492C"/>
    <w:rsid w:val="00D84DE0"/>
    <w:rsid w:val="00D84E79"/>
    <w:rsid w:val="00D84FE9"/>
    <w:rsid w:val="00D85314"/>
    <w:rsid w:val="00D858B5"/>
    <w:rsid w:val="00D8600C"/>
    <w:rsid w:val="00D869A1"/>
    <w:rsid w:val="00D86AEF"/>
    <w:rsid w:val="00D87775"/>
    <w:rsid w:val="00D87BE0"/>
    <w:rsid w:val="00D9004B"/>
    <w:rsid w:val="00D9046C"/>
    <w:rsid w:val="00D905C7"/>
    <w:rsid w:val="00D90B85"/>
    <w:rsid w:val="00D9110B"/>
    <w:rsid w:val="00D91FAD"/>
    <w:rsid w:val="00D926C3"/>
    <w:rsid w:val="00D92843"/>
    <w:rsid w:val="00D92900"/>
    <w:rsid w:val="00D929F0"/>
    <w:rsid w:val="00D92FA3"/>
    <w:rsid w:val="00D966C1"/>
    <w:rsid w:val="00D96807"/>
    <w:rsid w:val="00D97EBB"/>
    <w:rsid w:val="00DA119F"/>
    <w:rsid w:val="00DA2315"/>
    <w:rsid w:val="00DA413F"/>
    <w:rsid w:val="00DA4584"/>
    <w:rsid w:val="00DA5124"/>
    <w:rsid w:val="00DA5F21"/>
    <w:rsid w:val="00DA614B"/>
    <w:rsid w:val="00DA6219"/>
    <w:rsid w:val="00DA6726"/>
    <w:rsid w:val="00DA6824"/>
    <w:rsid w:val="00DA69D6"/>
    <w:rsid w:val="00DA7330"/>
    <w:rsid w:val="00DA76FF"/>
    <w:rsid w:val="00DA7B1A"/>
    <w:rsid w:val="00DB0200"/>
    <w:rsid w:val="00DB0A50"/>
    <w:rsid w:val="00DB0D1F"/>
    <w:rsid w:val="00DB147D"/>
    <w:rsid w:val="00DB1567"/>
    <w:rsid w:val="00DB1770"/>
    <w:rsid w:val="00DB25CE"/>
    <w:rsid w:val="00DB342B"/>
    <w:rsid w:val="00DB3A5A"/>
    <w:rsid w:val="00DB40A3"/>
    <w:rsid w:val="00DB423E"/>
    <w:rsid w:val="00DB42B0"/>
    <w:rsid w:val="00DB4F02"/>
    <w:rsid w:val="00DB5D77"/>
    <w:rsid w:val="00DB5E73"/>
    <w:rsid w:val="00DB6AE0"/>
    <w:rsid w:val="00DC1D93"/>
    <w:rsid w:val="00DC1F43"/>
    <w:rsid w:val="00DC3060"/>
    <w:rsid w:val="00DC4504"/>
    <w:rsid w:val="00DC482A"/>
    <w:rsid w:val="00DC50D5"/>
    <w:rsid w:val="00DC6586"/>
    <w:rsid w:val="00DC6698"/>
    <w:rsid w:val="00DC6AA3"/>
    <w:rsid w:val="00DC773C"/>
    <w:rsid w:val="00DC7AA2"/>
    <w:rsid w:val="00DD021A"/>
    <w:rsid w:val="00DD11BA"/>
    <w:rsid w:val="00DD2B83"/>
    <w:rsid w:val="00DD3862"/>
    <w:rsid w:val="00DD38EE"/>
    <w:rsid w:val="00DD3D07"/>
    <w:rsid w:val="00DD4470"/>
    <w:rsid w:val="00DD48B1"/>
    <w:rsid w:val="00DD5346"/>
    <w:rsid w:val="00DD54A8"/>
    <w:rsid w:val="00DD5697"/>
    <w:rsid w:val="00DD5B6E"/>
    <w:rsid w:val="00DD616F"/>
    <w:rsid w:val="00DD7723"/>
    <w:rsid w:val="00DD77A2"/>
    <w:rsid w:val="00DE03B3"/>
    <w:rsid w:val="00DE041F"/>
    <w:rsid w:val="00DE09FC"/>
    <w:rsid w:val="00DE0FB2"/>
    <w:rsid w:val="00DE1EE6"/>
    <w:rsid w:val="00DE2129"/>
    <w:rsid w:val="00DE2971"/>
    <w:rsid w:val="00DE2F66"/>
    <w:rsid w:val="00DE4A36"/>
    <w:rsid w:val="00DE582B"/>
    <w:rsid w:val="00DE5998"/>
    <w:rsid w:val="00DE5B79"/>
    <w:rsid w:val="00DE5E77"/>
    <w:rsid w:val="00DE64FC"/>
    <w:rsid w:val="00DE71E5"/>
    <w:rsid w:val="00DE77AE"/>
    <w:rsid w:val="00DF065F"/>
    <w:rsid w:val="00DF093E"/>
    <w:rsid w:val="00DF0E69"/>
    <w:rsid w:val="00DF1DA2"/>
    <w:rsid w:val="00DF2F9B"/>
    <w:rsid w:val="00DF32F0"/>
    <w:rsid w:val="00DF3A62"/>
    <w:rsid w:val="00DF49CB"/>
    <w:rsid w:val="00DF4A49"/>
    <w:rsid w:val="00DF4E37"/>
    <w:rsid w:val="00DF52FA"/>
    <w:rsid w:val="00DF5B87"/>
    <w:rsid w:val="00DF6BE5"/>
    <w:rsid w:val="00DF7086"/>
    <w:rsid w:val="00DF7124"/>
    <w:rsid w:val="00DF7EF6"/>
    <w:rsid w:val="00E001B2"/>
    <w:rsid w:val="00E00672"/>
    <w:rsid w:val="00E00FE2"/>
    <w:rsid w:val="00E01F42"/>
    <w:rsid w:val="00E024E8"/>
    <w:rsid w:val="00E0292B"/>
    <w:rsid w:val="00E02B17"/>
    <w:rsid w:val="00E04798"/>
    <w:rsid w:val="00E04E38"/>
    <w:rsid w:val="00E05E22"/>
    <w:rsid w:val="00E06D4C"/>
    <w:rsid w:val="00E06F6C"/>
    <w:rsid w:val="00E07095"/>
    <w:rsid w:val="00E1022E"/>
    <w:rsid w:val="00E10609"/>
    <w:rsid w:val="00E10CF9"/>
    <w:rsid w:val="00E114A3"/>
    <w:rsid w:val="00E11B14"/>
    <w:rsid w:val="00E11DB1"/>
    <w:rsid w:val="00E1215B"/>
    <w:rsid w:val="00E1288C"/>
    <w:rsid w:val="00E12EF9"/>
    <w:rsid w:val="00E12F97"/>
    <w:rsid w:val="00E136EC"/>
    <w:rsid w:val="00E141C6"/>
    <w:rsid w:val="00E155EB"/>
    <w:rsid w:val="00E157FF"/>
    <w:rsid w:val="00E15873"/>
    <w:rsid w:val="00E16E68"/>
    <w:rsid w:val="00E1720B"/>
    <w:rsid w:val="00E17CF8"/>
    <w:rsid w:val="00E20191"/>
    <w:rsid w:val="00E206D6"/>
    <w:rsid w:val="00E21003"/>
    <w:rsid w:val="00E21683"/>
    <w:rsid w:val="00E2581F"/>
    <w:rsid w:val="00E25AD1"/>
    <w:rsid w:val="00E2655D"/>
    <w:rsid w:val="00E26741"/>
    <w:rsid w:val="00E26DFD"/>
    <w:rsid w:val="00E270C4"/>
    <w:rsid w:val="00E30D56"/>
    <w:rsid w:val="00E3140A"/>
    <w:rsid w:val="00E3160F"/>
    <w:rsid w:val="00E31EC0"/>
    <w:rsid w:val="00E3307B"/>
    <w:rsid w:val="00E334EC"/>
    <w:rsid w:val="00E3366E"/>
    <w:rsid w:val="00E3407B"/>
    <w:rsid w:val="00E348BB"/>
    <w:rsid w:val="00E356BB"/>
    <w:rsid w:val="00E35E8D"/>
    <w:rsid w:val="00E36864"/>
    <w:rsid w:val="00E41056"/>
    <w:rsid w:val="00E41699"/>
    <w:rsid w:val="00E421C6"/>
    <w:rsid w:val="00E424AA"/>
    <w:rsid w:val="00E42F97"/>
    <w:rsid w:val="00E4392F"/>
    <w:rsid w:val="00E43BC6"/>
    <w:rsid w:val="00E4465E"/>
    <w:rsid w:val="00E45E52"/>
    <w:rsid w:val="00E46757"/>
    <w:rsid w:val="00E47810"/>
    <w:rsid w:val="00E50040"/>
    <w:rsid w:val="00E507FB"/>
    <w:rsid w:val="00E5161C"/>
    <w:rsid w:val="00E51C0B"/>
    <w:rsid w:val="00E51CEC"/>
    <w:rsid w:val="00E52086"/>
    <w:rsid w:val="00E52232"/>
    <w:rsid w:val="00E52CB2"/>
    <w:rsid w:val="00E53840"/>
    <w:rsid w:val="00E53FA9"/>
    <w:rsid w:val="00E543A6"/>
    <w:rsid w:val="00E54487"/>
    <w:rsid w:val="00E54D43"/>
    <w:rsid w:val="00E569EF"/>
    <w:rsid w:val="00E576E2"/>
    <w:rsid w:val="00E57A30"/>
    <w:rsid w:val="00E6010D"/>
    <w:rsid w:val="00E60479"/>
    <w:rsid w:val="00E605C7"/>
    <w:rsid w:val="00E61359"/>
    <w:rsid w:val="00E61D73"/>
    <w:rsid w:val="00E621B5"/>
    <w:rsid w:val="00E6422B"/>
    <w:rsid w:val="00E64D7D"/>
    <w:rsid w:val="00E65098"/>
    <w:rsid w:val="00E655B2"/>
    <w:rsid w:val="00E6594F"/>
    <w:rsid w:val="00E65C13"/>
    <w:rsid w:val="00E66076"/>
    <w:rsid w:val="00E66630"/>
    <w:rsid w:val="00E6679C"/>
    <w:rsid w:val="00E67CEB"/>
    <w:rsid w:val="00E710DD"/>
    <w:rsid w:val="00E71B33"/>
    <w:rsid w:val="00E71D56"/>
    <w:rsid w:val="00E72133"/>
    <w:rsid w:val="00E72AEA"/>
    <w:rsid w:val="00E73684"/>
    <w:rsid w:val="00E744CF"/>
    <w:rsid w:val="00E74AED"/>
    <w:rsid w:val="00E76278"/>
    <w:rsid w:val="00E764DC"/>
    <w:rsid w:val="00E77E45"/>
    <w:rsid w:val="00E80115"/>
    <w:rsid w:val="00E80C06"/>
    <w:rsid w:val="00E8116D"/>
    <w:rsid w:val="00E818D6"/>
    <w:rsid w:val="00E829F1"/>
    <w:rsid w:val="00E82DA8"/>
    <w:rsid w:val="00E83551"/>
    <w:rsid w:val="00E8503D"/>
    <w:rsid w:val="00E854A0"/>
    <w:rsid w:val="00E87A41"/>
    <w:rsid w:val="00E87F7A"/>
    <w:rsid w:val="00E92094"/>
    <w:rsid w:val="00E9219E"/>
    <w:rsid w:val="00E92AFE"/>
    <w:rsid w:val="00E9322A"/>
    <w:rsid w:val="00E93B26"/>
    <w:rsid w:val="00E958CD"/>
    <w:rsid w:val="00E963CA"/>
    <w:rsid w:val="00E96BD7"/>
    <w:rsid w:val="00E96CBA"/>
    <w:rsid w:val="00EA069A"/>
    <w:rsid w:val="00EA0DB1"/>
    <w:rsid w:val="00EA0EE9"/>
    <w:rsid w:val="00EA3E45"/>
    <w:rsid w:val="00EA4150"/>
    <w:rsid w:val="00EA41DD"/>
    <w:rsid w:val="00EA5303"/>
    <w:rsid w:val="00EA5469"/>
    <w:rsid w:val="00EA5FB8"/>
    <w:rsid w:val="00EA6084"/>
    <w:rsid w:val="00EA651A"/>
    <w:rsid w:val="00EA78BE"/>
    <w:rsid w:val="00EA7FF7"/>
    <w:rsid w:val="00EB0341"/>
    <w:rsid w:val="00EB13DE"/>
    <w:rsid w:val="00EB1597"/>
    <w:rsid w:val="00EB1712"/>
    <w:rsid w:val="00EB1C1E"/>
    <w:rsid w:val="00EB3785"/>
    <w:rsid w:val="00EB3F63"/>
    <w:rsid w:val="00EB50A5"/>
    <w:rsid w:val="00EB5494"/>
    <w:rsid w:val="00EB5BD4"/>
    <w:rsid w:val="00EB7146"/>
    <w:rsid w:val="00EB722B"/>
    <w:rsid w:val="00EB7F11"/>
    <w:rsid w:val="00EC1411"/>
    <w:rsid w:val="00EC2343"/>
    <w:rsid w:val="00EC2539"/>
    <w:rsid w:val="00EC2C28"/>
    <w:rsid w:val="00EC2D99"/>
    <w:rsid w:val="00EC334D"/>
    <w:rsid w:val="00EC3433"/>
    <w:rsid w:val="00EC4445"/>
    <w:rsid w:val="00EC44A0"/>
    <w:rsid w:val="00EC48AB"/>
    <w:rsid w:val="00EC696E"/>
    <w:rsid w:val="00EC7FEC"/>
    <w:rsid w:val="00ED0A50"/>
    <w:rsid w:val="00ED0C64"/>
    <w:rsid w:val="00ED108A"/>
    <w:rsid w:val="00ED1562"/>
    <w:rsid w:val="00ED26D3"/>
    <w:rsid w:val="00ED3180"/>
    <w:rsid w:val="00ED45A3"/>
    <w:rsid w:val="00ED52CA"/>
    <w:rsid w:val="00ED53D2"/>
    <w:rsid w:val="00ED5860"/>
    <w:rsid w:val="00ED6EBD"/>
    <w:rsid w:val="00EE0437"/>
    <w:rsid w:val="00EE1B74"/>
    <w:rsid w:val="00EE1E95"/>
    <w:rsid w:val="00EE2852"/>
    <w:rsid w:val="00EE30EB"/>
    <w:rsid w:val="00EE35C9"/>
    <w:rsid w:val="00EE3D65"/>
    <w:rsid w:val="00EE3F20"/>
    <w:rsid w:val="00EE5BF1"/>
    <w:rsid w:val="00EE5EF6"/>
    <w:rsid w:val="00EE6BC8"/>
    <w:rsid w:val="00EE72C2"/>
    <w:rsid w:val="00EE7C4C"/>
    <w:rsid w:val="00EF0E0C"/>
    <w:rsid w:val="00EF154F"/>
    <w:rsid w:val="00EF1CB7"/>
    <w:rsid w:val="00EF425E"/>
    <w:rsid w:val="00EF4F2A"/>
    <w:rsid w:val="00EF5029"/>
    <w:rsid w:val="00EF5687"/>
    <w:rsid w:val="00EF74DC"/>
    <w:rsid w:val="00F01228"/>
    <w:rsid w:val="00F02AE0"/>
    <w:rsid w:val="00F03EA9"/>
    <w:rsid w:val="00F04AF4"/>
    <w:rsid w:val="00F05655"/>
    <w:rsid w:val="00F05ECA"/>
    <w:rsid w:val="00F064F3"/>
    <w:rsid w:val="00F07164"/>
    <w:rsid w:val="00F104C0"/>
    <w:rsid w:val="00F11DD9"/>
    <w:rsid w:val="00F11F68"/>
    <w:rsid w:val="00F121F3"/>
    <w:rsid w:val="00F12C5F"/>
    <w:rsid w:val="00F130FF"/>
    <w:rsid w:val="00F14013"/>
    <w:rsid w:val="00F14A3B"/>
    <w:rsid w:val="00F15683"/>
    <w:rsid w:val="00F16234"/>
    <w:rsid w:val="00F1710F"/>
    <w:rsid w:val="00F1786A"/>
    <w:rsid w:val="00F17F30"/>
    <w:rsid w:val="00F20395"/>
    <w:rsid w:val="00F2075E"/>
    <w:rsid w:val="00F22FD5"/>
    <w:rsid w:val="00F24043"/>
    <w:rsid w:val="00F241B0"/>
    <w:rsid w:val="00F2462A"/>
    <w:rsid w:val="00F24E78"/>
    <w:rsid w:val="00F24E9E"/>
    <w:rsid w:val="00F26AEC"/>
    <w:rsid w:val="00F30D07"/>
    <w:rsid w:val="00F31660"/>
    <w:rsid w:val="00F31673"/>
    <w:rsid w:val="00F33D9C"/>
    <w:rsid w:val="00F348C3"/>
    <w:rsid w:val="00F3566E"/>
    <w:rsid w:val="00F35B6F"/>
    <w:rsid w:val="00F35CD2"/>
    <w:rsid w:val="00F375FB"/>
    <w:rsid w:val="00F3774E"/>
    <w:rsid w:val="00F40AFD"/>
    <w:rsid w:val="00F417AC"/>
    <w:rsid w:val="00F41AC1"/>
    <w:rsid w:val="00F428FA"/>
    <w:rsid w:val="00F431BC"/>
    <w:rsid w:val="00F4367A"/>
    <w:rsid w:val="00F43856"/>
    <w:rsid w:val="00F43B5D"/>
    <w:rsid w:val="00F44049"/>
    <w:rsid w:val="00F441AA"/>
    <w:rsid w:val="00F445B1"/>
    <w:rsid w:val="00F44A49"/>
    <w:rsid w:val="00F44B49"/>
    <w:rsid w:val="00F45137"/>
    <w:rsid w:val="00F4581C"/>
    <w:rsid w:val="00F45CD4"/>
    <w:rsid w:val="00F45D6F"/>
    <w:rsid w:val="00F46652"/>
    <w:rsid w:val="00F46713"/>
    <w:rsid w:val="00F476B4"/>
    <w:rsid w:val="00F476D7"/>
    <w:rsid w:val="00F47F07"/>
    <w:rsid w:val="00F50C20"/>
    <w:rsid w:val="00F50D59"/>
    <w:rsid w:val="00F518BD"/>
    <w:rsid w:val="00F51C9A"/>
    <w:rsid w:val="00F52AB6"/>
    <w:rsid w:val="00F52C55"/>
    <w:rsid w:val="00F52DDC"/>
    <w:rsid w:val="00F52E15"/>
    <w:rsid w:val="00F53E5C"/>
    <w:rsid w:val="00F54A95"/>
    <w:rsid w:val="00F54A9A"/>
    <w:rsid w:val="00F554D2"/>
    <w:rsid w:val="00F55E7F"/>
    <w:rsid w:val="00F55EA5"/>
    <w:rsid w:val="00F5632A"/>
    <w:rsid w:val="00F563D6"/>
    <w:rsid w:val="00F57A81"/>
    <w:rsid w:val="00F60C42"/>
    <w:rsid w:val="00F61106"/>
    <w:rsid w:val="00F61760"/>
    <w:rsid w:val="00F62FF9"/>
    <w:rsid w:val="00F63207"/>
    <w:rsid w:val="00F6379C"/>
    <w:rsid w:val="00F6384E"/>
    <w:rsid w:val="00F64331"/>
    <w:rsid w:val="00F643E8"/>
    <w:rsid w:val="00F66812"/>
    <w:rsid w:val="00F66DCA"/>
    <w:rsid w:val="00F6706F"/>
    <w:rsid w:val="00F67D6E"/>
    <w:rsid w:val="00F7062A"/>
    <w:rsid w:val="00F70899"/>
    <w:rsid w:val="00F717C3"/>
    <w:rsid w:val="00F71879"/>
    <w:rsid w:val="00F71B0E"/>
    <w:rsid w:val="00F72BDF"/>
    <w:rsid w:val="00F7337F"/>
    <w:rsid w:val="00F73BC5"/>
    <w:rsid w:val="00F74F53"/>
    <w:rsid w:val="00F75549"/>
    <w:rsid w:val="00F756E4"/>
    <w:rsid w:val="00F756F7"/>
    <w:rsid w:val="00F75CEE"/>
    <w:rsid w:val="00F75FFF"/>
    <w:rsid w:val="00F7606D"/>
    <w:rsid w:val="00F7624F"/>
    <w:rsid w:val="00F76CE1"/>
    <w:rsid w:val="00F80635"/>
    <w:rsid w:val="00F80DF7"/>
    <w:rsid w:val="00F8102C"/>
    <w:rsid w:val="00F81670"/>
    <w:rsid w:val="00F817DD"/>
    <w:rsid w:val="00F82024"/>
    <w:rsid w:val="00F82D52"/>
    <w:rsid w:val="00F83A47"/>
    <w:rsid w:val="00F841CF"/>
    <w:rsid w:val="00F848F6"/>
    <w:rsid w:val="00F84974"/>
    <w:rsid w:val="00F8636E"/>
    <w:rsid w:val="00F86962"/>
    <w:rsid w:val="00F86B8F"/>
    <w:rsid w:val="00F87080"/>
    <w:rsid w:val="00F87359"/>
    <w:rsid w:val="00F8741C"/>
    <w:rsid w:val="00F87769"/>
    <w:rsid w:val="00F902FD"/>
    <w:rsid w:val="00F90A12"/>
    <w:rsid w:val="00F9107A"/>
    <w:rsid w:val="00F918E7"/>
    <w:rsid w:val="00F92238"/>
    <w:rsid w:val="00F93576"/>
    <w:rsid w:val="00F93F35"/>
    <w:rsid w:val="00F94231"/>
    <w:rsid w:val="00F94E95"/>
    <w:rsid w:val="00F9575A"/>
    <w:rsid w:val="00F95BC9"/>
    <w:rsid w:val="00F96A87"/>
    <w:rsid w:val="00F96E23"/>
    <w:rsid w:val="00F96F7C"/>
    <w:rsid w:val="00F97C01"/>
    <w:rsid w:val="00FA10A6"/>
    <w:rsid w:val="00FA13AC"/>
    <w:rsid w:val="00FA19F8"/>
    <w:rsid w:val="00FA2F7D"/>
    <w:rsid w:val="00FA4A8D"/>
    <w:rsid w:val="00FA4C89"/>
    <w:rsid w:val="00FA5DA1"/>
    <w:rsid w:val="00FA624C"/>
    <w:rsid w:val="00FA6E0B"/>
    <w:rsid w:val="00FA7323"/>
    <w:rsid w:val="00FB0E6F"/>
    <w:rsid w:val="00FB1A0C"/>
    <w:rsid w:val="00FB1C22"/>
    <w:rsid w:val="00FB2971"/>
    <w:rsid w:val="00FB30FA"/>
    <w:rsid w:val="00FB48DE"/>
    <w:rsid w:val="00FB491D"/>
    <w:rsid w:val="00FB4D01"/>
    <w:rsid w:val="00FB4EF2"/>
    <w:rsid w:val="00FB70AC"/>
    <w:rsid w:val="00FC0819"/>
    <w:rsid w:val="00FC0C6F"/>
    <w:rsid w:val="00FC100D"/>
    <w:rsid w:val="00FC262C"/>
    <w:rsid w:val="00FC2C5C"/>
    <w:rsid w:val="00FC3739"/>
    <w:rsid w:val="00FC3BD2"/>
    <w:rsid w:val="00FC3DE7"/>
    <w:rsid w:val="00FC3E3E"/>
    <w:rsid w:val="00FC468E"/>
    <w:rsid w:val="00FC4861"/>
    <w:rsid w:val="00FC4CB1"/>
    <w:rsid w:val="00FC5133"/>
    <w:rsid w:val="00FC6A6C"/>
    <w:rsid w:val="00FC71D8"/>
    <w:rsid w:val="00FC7B02"/>
    <w:rsid w:val="00FD0330"/>
    <w:rsid w:val="00FD0FAC"/>
    <w:rsid w:val="00FD1A21"/>
    <w:rsid w:val="00FD1DFA"/>
    <w:rsid w:val="00FD262F"/>
    <w:rsid w:val="00FD28D5"/>
    <w:rsid w:val="00FD30CB"/>
    <w:rsid w:val="00FD3590"/>
    <w:rsid w:val="00FD4134"/>
    <w:rsid w:val="00FD426A"/>
    <w:rsid w:val="00FD4966"/>
    <w:rsid w:val="00FD4A43"/>
    <w:rsid w:val="00FD4C89"/>
    <w:rsid w:val="00FD5FC6"/>
    <w:rsid w:val="00FD6E3D"/>
    <w:rsid w:val="00FD6E3F"/>
    <w:rsid w:val="00FE07FD"/>
    <w:rsid w:val="00FE098F"/>
    <w:rsid w:val="00FE0A7D"/>
    <w:rsid w:val="00FE1E6D"/>
    <w:rsid w:val="00FE23DE"/>
    <w:rsid w:val="00FE24BC"/>
    <w:rsid w:val="00FE2DBD"/>
    <w:rsid w:val="00FE328F"/>
    <w:rsid w:val="00FE35F3"/>
    <w:rsid w:val="00FE36F7"/>
    <w:rsid w:val="00FE38EF"/>
    <w:rsid w:val="00FE3A39"/>
    <w:rsid w:val="00FE4206"/>
    <w:rsid w:val="00FE5245"/>
    <w:rsid w:val="00FE53F3"/>
    <w:rsid w:val="00FE57DC"/>
    <w:rsid w:val="00FE5A52"/>
    <w:rsid w:val="00FE5DC8"/>
    <w:rsid w:val="00FF076B"/>
    <w:rsid w:val="00FF0D49"/>
    <w:rsid w:val="00FF169A"/>
    <w:rsid w:val="00FF4092"/>
    <w:rsid w:val="00FF52C5"/>
    <w:rsid w:val="01111957"/>
    <w:rsid w:val="0114B3FE"/>
    <w:rsid w:val="012EB228"/>
    <w:rsid w:val="013654E6"/>
    <w:rsid w:val="013737D4"/>
    <w:rsid w:val="014A48AF"/>
    <w:rsid w:val="015ACB42"/>
    <w:rsid w:val="017A3AC5"/>
    <w:rsid w:val="017A3F7C"/>
    <w:rsid w:val="017FC586"/>
    <w:rsid w:val="01A79989"/>
    <w:rsid w:val="01C7CA61"/>
    <w:rsid w:val="01EE2C13"/>
    <w:rsid w:val="01EF8251"/>
    <w:rsid w:val="021C971B"/>
    <w:rsid w:val="021FC04B"/>
    <w:rsid w:val="0227C28C"/>
    <w:rsid w:val="022A91AC"/>
    <w:rsid w:val="024ED7EE"/>
    <w:rsid w:val="025F0252"/>
    <w:rsid w:val="026FF515"/>
    <w:rsid w:val="029AF385"/>
    <w:rsid w:val="02C312E1"/>
    <w:rsid w:val="02C9E19F"/>
    <w:rsid w:val="02D4E1F5"/>
    <w:rsid w:val="02D51C5B"/>
    <w:rsid w:val="02D8B492"/>
    <w:rsid w:val="02DC965C"/>
    <w:rsid w:val="02E66A28"/>
    <w:rsid w:val="02FCF095"/>
    <w:rsid w:val="0314D973"/>
    <w:rsid w:val="03341458"/>
    <w:rsid w:val="035B3B08"/>
    <w:rsid w:val="036E0B0F"/>
    <w:rsid w:val="0388418F"/>
    <w:rsid w:val="03AB3955"/>
    <w:rsid w:val="03D51984"/>
    <w:rsid w:val="03E0A5CF"/>
    <w:rsid w:val="03E5C967"/>
    <w:rsid w:val="03EDD562"/>
    <w:rsid w:val="03F75C9D"/>
    <w:rsid w:val="04203F75"/>
    <w:rsid w:val="0428CCB3"/>
    <w:rsid w:val="04508144"/>
    <w:rsid w:val="048EC1F7"/>
    <w:rsid w:val="04B6A829"/>
    <w:rsid w:val="04BB5D8F"/>
    <w:rsid w:val="04CD3410"/>
    <w:rsid w:val="04F46330"/>
    <w:rsid w:val="0513A567"/>
    <w:rsid w:val="052C6EAA"/>
    <w:rsid w:val="053D4C44"/>
    <w:rsid w:val="0557587C"/>
    <w:rsid w:val="0583323F"/>
    <w:rsid w:val="05AA2329"/>
    <w:rsid w:val="05BA0C8B"/>
    <w:rsid w:val="05D087F2"/>
    <w:rsid w:val="05D26CE3"/>
    <w:rsid w:val="05F0BA0A"/>
    <w:rsid w:val="05F1B008"/>
    <w:rsid w:val="0614B8F9"/>
    <w:rsid w:val="0628D992"/>
    <w:rsid w:val="06489C14"/>
    <w:rsid w:val="0665CECC"/>
    <w:rsid w:val="066C0004"/>
    <w:rsid w:val="0682B1FF"/>
    <w:rsid w:val="06903FFB"/>
    <w:rsid w:val="0691897C"/>
    <w:rsid w:val="06B09452"/>
    <w:rsid w:val="06E6732D"/>
    <w:rsid w:val="06F984BF"/>
    <w:rsid w:val="0703EB3E"/>
    <w:rsid w:val="073D95E2"/>
    <w:rsid w:val="073EC4C1"/>
    <w:rsid w:val="0743051B"/>
    <w:rsid w:val="0757D33D"/>
    <w:rsid w:val="076E3D9D"/>
    <w:rsid w:val="07811EDD"/>
    <w:rsid w:val="07892E68"/>
    <w:rsid w:val="07A893FA"/>
    <w:rsid w:val="07A8D7E0"/>
    <w:rsid w:val="07AAD6E3"/>
    <w:rsid w:val="07C1B2C2"/>
    <w:rsid w:val="07D34665"/>
    <w:rsid w:val="07F4E77E"/>
    <w:rsid w:val="082E4A04"/>
    <w:rsid w:val="0854C69E"/>
    <w:rsid w:val="089D24F2"/>
    <w:rsid w:val="08EF44CD"/>
    <w:rsid w:val="091E699B"/>
    <w:rsid w:val="0931AC63"/>
    <w:rsid w:val="094D16CC"/>
    <w:rsid w:val="094D4188"/>
    <w:rsid w:val="094D55B1"/>
    <w:rsid w:val="09573FC1"/>
    <w:rsid w:val="0977520F"/>
    <w:rsid w:val="0978FCD7"/>
    <w:rsid w:val="09B8415F"/>
    <w:rsid w:val="09CF5387"/>
    <w:rsid w:val="09D4EDF4"/>
    <w:rsid w:val="09DD8107"/>
    <w:rsid w:val="09FDF027"/>
    <w:rsid w:val="0A0AB696"/>
    <w:rsid w:val="0A18A59E"/>
    <w:rsid w:val="0A1F0FA8"/>
    <w:rsid w:val="0A3F7028"/>
    <w:rsid w:val="0A4599A9"/>
    <w:rsid w:val="0A52E263"/>
    <w:rsid w:val="0A6CD8AA"/>
    <w:rsid w:val="0A74AB4F"/>
    <w:rsid w:val="0A766B93"/>
    <w:rsid w:val="0A852668"/>
    <w:rsid w:val="0A90AEB5"/>
    <w:rsid w:val="0A9669DA"/>
    <w:rsid w:val="0A96BB18"/>
    <w:rsid w:val="0AC0093F"/>
    <w:rsid w:val="0AD4E3CF"/>
    <w:rsid w:val="0AEA21B1"/>
    <w:rsid w:val="0AF31022"/>
    <w:rsid w:val="0AF69B51"/>
    <w:rsid w:val="0B089F1F"/>
    <w:rsid w:val="0B1A0410"/>
    <w:rsid w:val="0B1FB958"/>
    <w:rsid w:val="0B207DA2"/>
    <w:rsid w:val="0B34AF72"/>
    <w:rsid w:val="0B794FB7"/>
    <w:rsid w:val="0B9A511E"/>
    <w:rsid w:val="0BA0F17A"/>
    <w:rsid w:val="0BAE341F"/>
    <w:rsid w:val="0BBCAD49"/>
    <w:rsid w:val="0BF7C5CB"/>
    <w:rsid w:val="0BFBFFDC"/>
    <w:rsid w:val="0C0423C2"/>
    <w:rsid w:val="0C2B7D43"/>
    <w:rsid w:val="0C2FA934"/>
    <w:rsid w:val="0C721681"/>
    <w:rsid w:val="0CAA42A4"/>
    <w:rsid w:val="0CCFBAEA"/>
    <w:rsid w:val="0CD26EB9"/>
    <w:rsid w:val="0CE910CF"/>
    <w:rsid w:val="0D421672"/>
    <w:rsid w:val="0D4C2DB7"/>
    <w:rsid w:val="0D805BB9"/>
    <w:rsid w:val="0D93BCE9"/>
    <w:rsid w:val="0DDC411F"/>
    <w:rsid w:val="0DE99D91"/>
    <w:rsid w:val="0E2B8EDD"/>
    <w:rsid w:val="0E3D7B8A"/>
    <w:rsid w:val="0E92925E"/>
    <w:rsid w:val="0EABE4A2"/>
    <w:rsid w:val="0EB72202"/>
    <w:rsid w:val="0EB9E041"/>
    <w:rsid w:val="0ECB6E02"/>
    <w:rsid w:val="0EDD40D7"/>
    <w:rsid w:val="0EE42BFA"/>
    <w:rsid w:val="0F216C85"/>
    <w:rsid w:val="0F28E932"/>
    <w:rsid w:val="0F3B3CB5"/>
    <w:rsid w:val="0F4445B8"/>
    <w:rsid w:val="0F60D816"/>
    <w:rsid w:val="0F68F763"/>
    <w:rsid w:val="0F69E4DE"/>
    <w:rsid w:val="0F79A4DF"/>
    <w:rsid w:val="0F9503D0"/>
    <w:rsid w:val="0F99F81A"/>
    <w:rsid w:val="0FD2E9A1"/>
    <w:rsid w:val="1016CA67"/>
    <w:rsid w:val="103ECF42"/>
    <w:rsid w:val="105F655E"/>
    <w:rsid w:val="10613BA7"/>
    <w:rsid w:val="1064868B"/>
    <w:rsid w:val="10755722"/>
    <w:rsid w:val="10BCB748"/>
    <w:rsid w:val="10BE67D6"/>
    <w:rsid w:val="10CC0FE1"/>
    <w:rsid w:val="10E4A126"/>
    <w:rsid w:val="10FA769B"/>
    <w:rsid w:val="11040C17"/>
    <w:rsid w:val="1122337A"/>
    <w:rsid w:val="1153055E"/>
    <w:rsid w:val="1157DE49"/>
    <w:rsid w:val="11587138"/>
    <w:rsid w:val="117DB3C7"/>
    <w:rsid w:val="118E5108"/>
    <w:rsid w:val="118EFC53"/>
    <w:rsid w:val="11BF0D74"/>
    <w:rsid w:val="11DA9AC0"/>
    <w:rsid w:val="11FB8186"/>
    <w:rsid w:val="12166428"/>
    <w:rsid w:val="12183667"/>
    <w:rsid w:val="12184102"/>
    <w:rsid w:val="12289C33"/>
    <w:rsid w:val="124DE2F6"/>
    <w:rsid w:val="125B87B1"/>
    <w:rsid w:val="12601A51"/>
    <w:rsid w:val="128634A9"/>
    <w:rsid w:val="1299BB1E"/>
    <w:rsid w:val="129B0958"/>
    <w:rsid w:val="12A8CA6B"/>
    <w:rsid w:val="12AB6D24"/>
    <w:rsid w:val="12B82069"/>
    <w:rsid w:val="12C54F99"/>
    <w:rsid w:val="12FE2207"/>
    <w:rsid w:val="1311AFD9"/>
    <w:rsid w:val="135B2DC9"/>
    <w:rsid w:val="135D7EF8"/>
    <w:rsid w:val="13673D21"/>
    <w:rsid w:val="136CCC30"/>
    <w:rsid w:val="136D8464"/>
    <w:rsid w:val="1395D26C"/>
    <w:rsid w:val="139C3D3E"/>
    <w:rsid w:val="13AF363B"/>
    <w:rsid w:val="13BAFF69"/>
    <w:rsid w:val="13C19291"/>
    <w:rsid w:val="13E9B261"/>
    <w:rsid w:val="14009B08"/>
    <w:rsid w:val="1404F04E"/>
    <w:rsid w:val="1409AC91"/>
    <w:rsid w:val="141298EA"/>
    <w:rsid w:val="1415C754"/>
    <w:rsid w:val="145DB24D"/>
    <w:rsid w:val="146B43E7"/>
    <w:rsid w:val="148A5580"/>
    <w:rsid w:val="14BF4969"/>
    <w:rsid w:val="14CF7F80"/>
    <w:rsid w:val="14EE8BD3"/>
    <w:rsid w:val="14FE5DBF"/>
    <w:rsid w:val="1500E2D2"/>
    <w:rsid w:val="1506884C"/>
    <w:rsid w:val="15111A01"/>
    <w:rsid w:val="1535CF3B"/>
    <w:rsid w:val="15513EF5"/>
    <w:rsid w:val="156187F2"/>
    <w:rsid w:val="1581FC5E"/>
    <w:rsid w:val="15878242"/>
    <w:rsid w:val="15C44FC4"/>
    <w:rsid w:val="15CC4AC2"/>
    <w:rsid w:val="15D1FD56"/>
    <w:rsid w:val="15DFBD2F"/>
    <w:rsid w:val="15E8150A"/>
    <w:rsid w:val="15F2F887"/>
    <w:rsid w:val="15F982AE"/>
    <w:rsid w:val="15FBA3A7"/>
    <w:rsid w:val="1603D793"/>
    <w:rsid w:val="16041D8A"/>
    <w:rsid w:val="16258359"/>
    <w:rsid w:val="162B7F1B"/>
    <w:rsid w:val="1631A13C"/>
    <w:rsid w:val="1655AD0A"/>
    <w:rsid w:val="16562AA6"/>
    <w:rsid w:val="165F06BD"/>
    <w:rsid w:val="16958AF7"/>
    <w:rsid w:val="16A69E4E"/>
    <w:rsid w:val="16A97DA2"/>
    <w:rsid w:val="16E549ED"/>
    <w:rsid w:val="16EFB08F"/>
    <w:rsid w:val="17112DDF"/>
    <w:rsid w:val="1737B29C"/>
    <w:rsid w:val="1766D75F"/>
    <w:rsid w:val="178088FF"/>
    <w:rsid w:val="17A09F97"/>
    <w:rsid w:val="17C0CD9C"/>
    <w:rsid w:val="17DDB0F9"/>
    <w:rsid w:val="17DE2320"/>
    <w:rsid w:val="181A0A7D"/>
    <w:rsid w:val="185BD0B8"/>
    <w:rsid w:val="185C4D4A"/>
    <w:rsid w:val="185E0B7F"/>
    <w:rsid w:val="18BB3C7C"/>
    <w:rsid w:val="18C0B0AF"/>
    <w:rsid w:val="18E0AD40"/>
    <w:rsid w:val="1901CCB8"/>
    <w:rsid w:val="193D4767"/>
    <w:rsid w:val="19747D92"/>
    <w:rsid w:val="197BAE22"/>
    <w:rsid w:val="198D17AB"/>
    <w:rsid w:val="19A1DF05"/>
    <w:rsid w:val="19B599CB"/>
    <w:rsid w:val="19CE9707"/>
    <w:rsid w:val="19FA35C0"/>
    <w:rsid w:val="1A178442"/>
    <w:rsid w:val="1A2FFC49"/>
    <w:rsid w:val="1A4809ED"/>
    <w:rsid w:val="1A739F3E"/>
    <w:rsid w:val="1A767045"/>
    <w:rsid w:val="1A81DCD8"/>
    <w:rsid w:val="1A868117"/>
    <w:rsid w:val="1A8B71F8"/>
    <w:rsid w:val="1A8FB32A"/>
    <w:rsid w:val="1A948A14"/>
    <w:rsid w:val="1ABADBDD"/>
    <w:rsid w:val="1ABBEB7A"/>
    <w:rsid w:val="1ADD96F0"/>
    <w:rsid w:val="1AE5FFB1"/>
    <w:rsid w:val="1AEC19E3"/>
    <w:rsid w:val="1AFCE308"/>
    <w:rsid w:val="1B1071EB"/>
    <w:rsid w:val="1B280CE1"/>
    <w:rsid w:val="1B34FC8E"/>
    <w:rsid w:val="1B406A01"/>
    <w:rsid w:val="1B5B8660"/>
    <w:rsid w:val="1B5BA129"/>
    <w:rsid w:val="1B66A396"/>
    <w:rsid w:val="1B90603D"/>
    <w:rsid w:val="1BB13DB4"/>
    <w:rsid w:val="1BBB42EC"/>
    <w:rsid w:val="1BC70753"/>
    <w:rsid w:val="1BE653D2"/>
    <w:rsid w:val="1C0E1A9B"/>
    <w:rsid w:val="1C33FC8A"/>
    <w:rsid w:val="1C3CC278"/>
    <w:rsid w:val="1C59F524"/>
    <w:rsid w:val="1CB51FE4"/>
    <w:rsid w:val="1CD9F76F"/>
    <w:rsid w:val="1CDA3647"/>
    <w:rsid w:val="1D410842"/>
    <w:rsid w:val="1D440D22"/>
    <w:rsid w:val="1D49F0F2"/>
    <w:rsid w:val="1D4EE7D3"/>
    <w:rsid w:val="1D53D092"/>
    <w:rsid w:val="1D5F7E98"/>
    <w:rsid w:val="1D81F8F1"/>
    <w:rsid w:val="1D8C960F"/>
    <w:rsid w:val="1DA7145C"/>
    <w:rsid w:val="1DB7C2F4"/>
    <w:rsid w:val="1DC42185"/>
    <w:rsid w:val="1E0F107F"/>
    <w:rsid w:val="1E2AF266"/>
    <w:rsid w:val="1E8C59D2"/>
    <w:rsid w:val="1EAAB96A"/>
    <w:rsid w:val="1ED00DBE"/>
    <w:rsid w:val="1EE867A8"/>
    <w:rsid w:val="1EF22EA6"/>
    <w:rsid w:val="1EF352DF"/>
    <w:rsid w:val="1F1ABA53"/>
    <w:rsid w:val="1F1E12A1"/>
    <w:rsid w:val="1F2386DA"/>
    <w:rsid w:val="1F3B8192"/>
    <w:rsid w:val="1F4D86B2"/>
    <w:rsid w:val="1F79E42B"/>
    <w:rsid w:val="1F7A4007"/>
    <w:rsid w:val="1FAFFC02"/>
    <w:rsid w:val="1FBA645D"/>
    <w:rsid w:val="1FC13552"/>
    <w:rsid w:val="1FD2211F"/>
    <w:rsid w:val="1FFFF4B6"/>
    <w:rsid w:val="20070770"/>
    <w:rsid w:val="200C408B"/>
    <w:rsid w:val="204AE35E"/>
    <w:rsid w:val="206AB406"/>
    <w:rsid w:val="20811261"/>
    <w:rsid w:val="2083476A"/>
    <w:rsid w:val="20CC643F"/>
    <w:rsid w:val="20EF89B8"/>
    <w:rsid w:val="20FF0017"/>
    <w:rsid w:val="211A2FE1"/>
    <w:rsid w:val="213223E9"/>
    <w:rsid w:val="2157D22A"/>
    <w:rsid w:val="21671FE5"/>
    <w:rsid w:val="218E893C"/>
    <w:rsid w:val="2195B217"/>
    <w:rsid w:val="21ABE231"/>
    <w:rsid w:val="21C69E05"/>
    <w:rsid w:val="21DAD19D"/>
    <w:rsid w:val="21E2DEC8"/>
    <w:rsid w:val="21EC3946"/>
    <w:rsid w:val="22173B8E"/>
    <w:rsid w:val="2236C7A8"/>
    <w:rsid w:val="2243CB4C"/>
    <w:rsid w:val="2265F0D2"/>
    <w:rsid w:val="227A288E"/>
    <w:rsid w:val="228580CF"/>
    <w:rsid w:val="22A8FEF2"/>
    <w:rsid w:val="22B1A1BE"/>
    <w:rsid w:val="22C3DCDB"/>
    <w:rsid w:val="22D996C4"/>
    <w:rsid w:val="22E58699"/>
    <w:rsid w:val="22FC3FBC"/>
    <w:rsid w:val="231F6E52"/>
    <w:rsid w:val="233AACDC"/>
    <w:rsid w:val="23567AEC"/>
    <w:rsid w:val="236672B3"/>
    <w:rsid w:val="23861304"/>
    <w:rsid w:val="23880344"/>
    <w:rsid w:val="239E8C68"/>
    <w:rsid w:val="23C3A3B3"/>
    <w:rsid w:val="23D1C484"/>
    <w:rsid w:val="23E949D8"/>
    <w:rsid w:val="23F11CEB"/>
    <w:rsid w:val="24164293"/>
    <w:rsid w:val="24309F55"/>
    <w:rsid w:val="2432652E"/>
    <w:rsid w:val="2438A846"/>
    <w:rsid w:val="245CBB30"/>
    <w:rsid w:val="2463E5D6"/>
    <w:rsid w:val="24827044"/>
    <w:rsid w:val="24D365D9"/>
    <w:rsid w:val="24DBB2B4"/>
    <w:rsid w:val="2503592C"/>
    <w:rsid w:val="25193068"/>
    <w:rsid w:val="25226077"/>
    <w:rsid w:val="252785E0"/>
    <w:rsid w:val="2540D15B"/>
    <w:rsid w:val="2558D10A"/>
    <w:rsid w:val="2575EFBB"/>
    <w:rsid w:val="25770F59"/>
    <w:rsid w:val="25B18049"/>
    <w:rsid w:val="25D4C947"/>
    <w:rsid w:val="25E0BEA3"/>
    <w:rsid w:val="261BC6B7"/>
    <w:rsid w:val="26426FD8"/>
    <w:rsid w:val="26747A0D"/>
    <w:rsid w:val="2719D7CB"/>
    <w:rsid w:val="2726BFF4"/>
    <w:rsid w:val="2728F906"/>
    <w:rsid w:val="2741A5DF"/>
    <w:rsid w:val="275A0ECA"/>
    <w:rsid w:val="275FF530"/>
    <w:rsid w:val="277FAB1F"/>
    <w:rsid w:val="27A9DDAA"/>
    <w:rsid w:val="27B72305"/>
    <w:rsid w:val="27EDC4E6"/>
    <w:rsid w:val="27F18630"/>
    <w:rsid w:val="2811087F"/>
    <w:rsid w:val="2834108F"/>
    <w:rsid w:val="2842A9FC"/>
    <w:rsid w:val="28640BFB"/>
    <w:rsid w:val="286F72E3"/>
    <w:rsid w:val="286F8450"/>
    <w:rsid w:val="2877D793"/>
    <w:rsid w:val="28875D28"/>
    <w:rsid w:val="28A10F48"/>
    <w:rsid w:val="28CB8EEF"/>
    <w:rsid w:val="28CF9421"/>
    <w:rsid w:val="29047176"/>
    <w:rsid w:val="29229F5F"/>
    <w:rsid w:val="29486D8B"/>
    <w:rsid w:val="294DE410"/>
    <w:rsid w:val="297275A1"/>
    <w:rsid w:val="297F5CB1"/>
    <w:rsid w:val="299DD540"/>
    <w:rsid w:val="29D594B5"/>
    <w:rsid w:val="29DA48B5"/>
    <w:rsid w:val="29FBAC72"/>
    <w:rsid w:val="2A01A780"/>
    <w:rsid w:val="2A55F630"/>
    <w:rsid w:val="2A6A5467"/>
    <w:rsid w:val="2A78408E"/>
    <w:rsid w:val="2A93AA7F"/>
    <w:rsid w:val="2ABC006F"/>
    <w:rsid w:val="2AFBB446"/>
    <w:rsid w:val="2AFBF5F4"/>
    <w:rsid w:val="2B1949A4"/>
    <w:rsid w:val="2B2C6C51"/>
    <w:rsid w:val="2B320925"/>
    <w:rsid w:val="2B578A5F"/>
    <w:rsid w:val="2B998054"/>
    <w:rsid w:val="2BCD4094"/>
    <w:rsid w:val="2BD71621"/>
    <w:rsid w:val="2BDF3CDC"/>
    <w:rsid w:val="2BDFF5DE"/>
    <w:rsid w:val="2BFEBDE0"/>
    <w:rsid w:val="2C0B0E2C"/>
    <w:rsid w:val="2C114866"/>
    <w:rsid w:val="2C1A049A"/>
    <w:rsid w:val="2C2B886D"/>
    <w:rsid w:val="2C602D77"/>
    <w:rsid w:val="2C6EEE5B"/>
    <w:rsid w:val="2C740F2B"/>
    <w:rsid w:val="2C7BEABE"/>
    <w:rsid w:val="2CA325C9"/>
    <w:rsid w:val="2CAD283B"/>
    <w:rsid w:val="2CBEE9CC"/>
    <w:rsid w:val="2CC4E500"/>
    <w:rsid w:val="2CC99ABA"/>
    <w:rsid w:val="2CFB0F00"/>
    <w:rsid w:val="2D0D2657"/>
    <w:rsid w:val="2D3905F8"/>
    <w:rsid w:val="2D458528"/>
    <w:rsid w:val="2D4DF93E"/>
    <w:rsid w:val="2D646392"/>
    <w:rsid w:val="2D87D73D"/>
    <w:rsid w:val="2DB06458"/>
    <w:rsid w:val="2DE0D5AE"/>
    <w:rsid w:val="2DE27DC4"/>
    <w:rsid w:val="2DF428AE"/>
    <w:rsid w:val="2E0AA73F"/>
    <w:rsid w:val="2E166F6A"/>
    <w:rsid w:val="2E34862B"/>
    <w:rsid w:val="2E360C37"/>
    <w:rsid w:val="2E709612"/>
    <w:rsid w:val="2E75B4A8"/>
    <w:rsid w:val="2E8A80BC"/>
    <w:rsid w:val="2E8E1D6A"/>
    <w:rsid w:val="2ED0B5C2"/>
    <w:rsid w:val="2EF48747"/>
    <w:rsid w:val="2F2B0960"/>
    <w:rsid w:val="2F2FBAE2"/>
    <w:rsid w:val="2F403EFD"/>
    <w:rsid w:val="2F5992E2"/>
    <w:rsid w:val="2F644443"/>
    <w:rsid w:val="2F7B5AED"/>
    <w:rsid w:val="2F8A73AF"/>
    <w:rsid w:val="2F8ECAAE"/>
    <w:rsid w:val="2F91D652"/>
    <w:rsid w:val="2FC2A5DF"/>
    <w:rsid w:val="2FF8DA9D"/>
    <w:rsid w:val="30004E38"/>
    <w:rsid w:val="3011C3CD"/>
    <w:rsid w:val="301C2580"/>
    <w:rsid w:val="3045CB17"/>
    <w:rsid w:val="3077A1E3"/>
    <w:rsid w:val="307965DB"/>
    <w:rsid w:val="308F8B53"/>
    <w:rsid w:val="3090528B"/>
    <w:rsid w:val="30A60156"/>
    <w:rsid w:val="30E5601A"/>
    <w:rsid w:val="30FDF308"/>
    <w:rsid w:val="31399F20"/>
    <w:rsid w:val="316BF144"/>
    <w:rsid w:val="31BFBB04"/>
    <w:rsid w:val="31CA2211"/>
    <w:rsid w:val="31CED7A2"/>
    <w:rsid w:val="31E5DC7E"/>
    <w:rsid w:val="31F67601"/>
    <w:rsid w:val="31FDC531"/>
    <w:rsid w:val="320533E7"/>
    <w:rsid w:val="322480EA"/>
    <w:rsid w:val="32297115"/>
    <w:rsid w:val="32716023"/>
    <w:rsid w:val="32B74AB0"/>
    <w:rsid w:val="32CB6DFA"/>
    <w:rsid w:val="32D81513"/>
    <w:rsid w:val="32DF0FE4"/>
    <w:rsid w:val="32E71B5C"/>
    <w:rsid w:val="32EAF6F6"/>
    <w:rsid w:val="3342056B"/>
    <w:rsid w:val="33466D83"/>
    <w:rsid w:val="3348ACE1"/>
    <w:rsid w:val="33892EC1"/>
    <w:rsid w:val="338AF6CC"/>
    <w:rsid w:val="339570C8"/>
    <w:rsid w:val="339A0D79"/>
    <w:rsid w:val="33C54176"/>
    <w:rsid w:val="33CD7665"/>
    <w:rsid w:val="33FF98CF"/>
    <w:rsid w:val="34006266"/>
    <w:rsid w:val="341A3E9D"/>
    <w:rsid w:val="342543B1"/>
    <w:rsid w:val="3428D251"/>
    <w:rsid w:val="3461B18C"/>
    <w:rsid w:val="3467FABC"/>
    <w:rsid w:val="3488B13E"/>
    <w:rsid w:val="349E2A10"/>
    <w:rsid w:val="34F1452F"/>
    <w:rsid w:val="35083BC6"/>
    <w:rsid w:val="35193FA1"/>
    <w:rsid w:val="35291797"/>
    <w:rsid w:val="3544E12B"/>
    <w:rsid w:val="356BA7B4"/>
    <w:rsid w:val="356FCD01"/>
    <w:rsid w:val="3578BC2E"/>
    <w:rsid w:val="35B57E79"/>
    <w:rsid w:val="35C20C83"/>
    <w:rsid w:val="35E11822"/>
    <w:rsid w:val="36193450"/>
    <w:rsid w:val="3659DA55"/>
    <w:rsid w:val="36679BFE"/>
    <w:rsid w:val="369362F6"/>
    <w:rsid w:val="36A1592A"/>
    <w:rsid w:val="36A9D1C1"/>
    <w:rsid w:val="36AA6A20"/>
    <w:rsid w:val="36C53707"/>
    <w:rsid w:val="36EFCA0F"/>
    <w:rsid w:val="3707D427"/>
    <w:rsid w:val="370A1FA7"/>
    <w:rsid w:val="3731FAF9"/>
    <w:rsid w:val="376C8C4E"/>
    <w:rsid w:val="379E68A4"/>
    <w:rsid w:val="37B41E72"/>
    <w:rsid w:val="37EE0AC4"/>
    <w:rsid w:val="38036971"/>
    <w:rsid w:val="383067E6"/>
    <w:rsid w:val="3830813A"/>
    <w:rsid w:val="383E8C47"/>
    <w:rsid w:val="3850BCA2"/>
    <w:rsid w:val="387C4FB6"/>
    <w:rsid w:val="3890A5C2"/>
    <w:rsid w:val="389A022B"/>
    <w:rsid w:val="38ADD46D"/>
    <w:rsid w:val="38DAE609"/>
    <w:rsid w:val="38EE3B28"/>
    <w:rsid w:val="39007528"/>
    <w:rsid w:val="391AC761"/>
    <w:rsid w:val="391E8B86"/>
    <w:rsid w:val="392DAC0D"/>
    <w:rsid w:val="3975F45C"/>
    <w:rsid w:val="39912DD7"/>
    <w:rsid w:val="399B27B2"/>
    <w:rsid w:val="399C3DBB"/>
    <w:rsid w:val="39A8456B"/>
    <w:rsid w:val="39AF6AEC"/>
    <w:rsid w:val="39B7BDDF"/>
    <w:rsid w:val="39BA75D7"/>
    <w:rsid w:val="39C895CB"/>
    <w:rsid w:val="39D047D8"/>
    <w:rsid w:val="39F1AA39"/>
    <w:rsid w:val="39F81D1B"/>
    <w:rsid w:val="3A549E41"/>
    <w:rsid w:val="3A6623AF"/>
    <w:rsid w:val="3A70D2D8"/>
    <w:rsid w:val="3A7C333B"/>
    <w:rsid w:val="3AB78FB7"/>
    <w:rsid w:val="3AE05E37"/>
    <w:rsid w:val="3B26AF71"/>
    <w:rsid w:val="3B290C74"/>
    <w:rsid w:val="3B323DD9"/>
    <w:rsid w:val="3B3300D8"/>
    <w:rsid w:val="3B3DEF95"/>
    <w:rsid w:val="3B429196"/>
    <w:rsid w:val="3B4553C6"/>
    <w:rsid w:val="3B45E095"/>
    <w:rsid w:val="3B49286D"/>
    <w:rsid w:val="3B6E106A"/>
    <w:rsid w:val="3B824D2F"/>
    <w:rsid w:val="3BAF2A1A"/>
    <w:rsid w:val="3BC1E9A5"/>
    <w:rsid w:val="3BC99A9A"/>
    <w:rsid w:val="3BCE242F"/>
    <w:rsid w:val="3BCE5750"/>
    <w:rsid w:val="3BD6BAB6"/>
    <w:rsid w:val="3BE72F65"/>
    <w:rsid w:val="3C18039C"/>
    <w:rsid w:val="3C1B128F"/>
    <w:rsid w:val="3C2D398F"/>
    <w:rsid w:val="3C306738"/>
    <w:rsid w:val="3C3365BD"/>
    <w:rsid w:val="3C4FD23F"/>
    <w:rsid w:val="3C59DAB2"/>
    <w:rsid w:val="3C5FF45A"/>
    <w:rsid w:val="3C6BF76C"/>
    <w:rsid w:val="3C860C45"/>
    <w:rsid w:val="3C937AC5"/>
    <w:rsid w:val="3C9BF52A"/>
    <w:rsid w:val="3CA383F7"/>
    <w:rsid w:val="3CA6FA30"/>
    <w:rsid w:val="3CB1879E"/>
    <w:rsid w:val="3CC4164E"/>
    <w:rsid w:val="3D2AD5FB"/>
    <w:rsid w:val="3D43A75C"/>
    <w:rsid w:val="3D4E32EA"/>
    <w:rsid w:val="3D868D7F"/>
    <w:rsid w:val="3DB70EF8"/>
    <w:rsid w:val="3DC2E4CB"/>
    <w:rsid w:val="3DC89E71"/>
    <w:rsid w:val="3DCBC708"/>
    <w:rsid w:val="3DF339A6"/>
    <w:rsid w:val="3DFB6C05"/>
    <w:rsid w:val="3E106C03"/>
    <w:rsid w:val="3E18BB87"/>
    <w:rsid w:val="3E1E2E4D"/>
    <w:rsid w:val="3E38EDD6"/>
    <w:rsid w:val="3E3BF0DB"/>
    <w:rsid w:val="3E45DC25"/>
    <w:rsid w:val="3E524C70"/>
    <w:rsid w:val="3E5FE6AF"/>
    <w:rsid w:val="3E7D0D7C"/>
    <w:rsid w:val="3E8DABF5"/>
    <w:rsid w:val="3E95710C"/>
    <w:rsid w:val="3EA6935B"/>
    <w:rsid w:val="3EB46900"/>
    <w:rsid w:val="3EB6E73E"/>
    <w:rsid w:val="3EF3E137"/>
    <w:rsid w:val="3F3CF5F0"/>
    <w:rsid w:val="3F5A2977"/>
    <w:rsid w:val="3F60F1E9"/>
    <w:rsid w:val="3F80E812"/>
    <w:rsid w:val="3FAA10FB"/>
    <w:rsid w:val="3FAAA00A"/>
    <w:rsid w:val="3FB630F2"/>
    <w:rsid w:val="3FC234B2"/>
    <w:rsid w:val="3FC6F085"/>
    <w:rsid w:val="3FCC8472"/>
    <w:rsid w:val="3FCE43C7"/>
    <w:rsid w:val="3FD507BA"/>
    <w:rsid w:val="3FEB77E2"/>
    <w:rsid w:val="3FF9267A"/>
    <w:rsid w:val="4036A041"/>
    <w:rsid w:val="4045DA61"/>
    <w:rsid w:val="4053E78F"/>
    <w:rsid w:val="40641DBB"/>
    <w:rsid w:val="406D6CA0"/>
    <w:rsid w:val="40934FDD"/>
    <w:rsid w:val="409711C7"/>
    <w:rsid w:val="40B0E61B"/>
    <w:rsid w:val="40BC4E0B"/>
    <w:rsid w:val="40BCB234"/>
    <w:rsid w:val="40E18B38"/>
    <w:rsid w:val="41111BF1"/>
    <w:rsid w:val="4112059B"/>
    <w:rsid w:val="4117166D"/>
    <w:rsid w:val="4118361E"/>
    <w:rsid w:val="414E8FD3"/>
    <w:rsid w:val="41510817"/>
    <w:rsid w:val="41959506"/>
    <w:rsid w:val="41E22726"/>
    <w:rsid w:val="41E65D8E"/>
    <w:rsid w:val="421DB164"/>
    <w:rsid w:val="4240162C"/>
    <w:rsid w:val="424A3959"/>
    <w:rsid w:val="42501B24"/>
    <w:rsid w:val="427157BE"/>
    <w:rsid w:val="42874520"/>
    <w:rsid w:val="42B7F30C"/>
    <w:rsid w:val="42C07116"/>
    <w:rsid w:val="42C6A48E"/>
    <w:rsid w:val="42E085BD"/>
    <w:rsid w:val="42F5AEEA"/>
    <w:rsid w:val="43074C68"/>
    <w:rsid w:val="430DC1A8"/>
    <w:rsid w:val="432A400E"/>
    <w:rsid w:val="43446468"/>
    <w:rsid w:val="4347EFF1"/>
    <w:rsid w:val="43494A70"/>
    <w:rsid w:val="4353B068"/>
    <w:rsid w:val="436EAEE7"/>
    <w:rsid w:val="4374C15A"/>
    <w:rsid w:val="437A047E"/>
    <w:rsid w:val="4391D735"/>
    <w:rsid w:val="43A090D5"/>
    <w:rsid w:val="43B088DD"/>
    <w:rsid w:val="43B0E2A6"/>
    <w:rsid w:val="43B3B428"/>
    <w:rsid w:val="43D32D88"/>
    <w:rsid w:val="43D4FF0C"/>
    <w:rsid w:val="43EA940C"/>
    <w:rsid w:val="44021021"/>
    <w:rsid w:val="440E1208"/>
    <w:rsid w:val="4410F344"/>
    <w:rsid w:val="44231581"/>
    <w:rsid w:val="445D7DD6"/>
    <w:rsid w:val="446247F7"/>
    <w:rsid w:val="446598DC"/>
    <w:rsid w:val="44ABB9E8"/>
    <w:rsid w:val="44C3683A"/>
    <w:rsid w:val="44D9667E"/>
    <w:rsid w:val="44E07860"/>
    <w:rsid w:val="44EBE215"/>
    <w:rsid w:val="457D3E11"/>
    <w:rsid w:val="45B003F2"/>
    <w:rsid w:val="45B48DA9"/>
    <w:rsid w:val="45DEA28E"/>
    <w:rsid w:val="45F0EC06"/>
    <w:rsid w:val="460E963F"/>
    <w:rsid w:val="46165EE7"/>
    <w:rsid w:val="4623E9DD"/>
    <w:rsid w:val="463819C9"/>
    <w:rsid w:val="468932A0"/>
    <w:rsid w:val="46B1A540"/>
    <w:rsid w:val="46B30C3D"/>
    <w:rsid w:val="46D33E25"/>
    <w:rsid w:val="46D8C2E2"/>
    <w:rsid w:val="4703523C"/>
    <w:rsid w:val="4713874F"/>
    <w:rsid w:val="4713DD8A"/>
    <w:rsid w:val="473D8DEE"/>
    <w:rsid w:val="474EE051"/>
    <w:rsid w:val="47578734"/>
    <w:rsid w:val="476454C7"/>
    <w:rsid w:val="478071CA"/>
    <w:rsid w:val="4780D7EB"/>
    <w:rsid w:val="47CE711C"/>
    <w:rsid w:val="47D7A1C7"/>
    <w:rsid w:val="47E49617"/>
    <w:rsid w:val="47E4E18A"/>
    <w:rsid w:val="482061D1"/>
    <w:rsid w:val="48220AE7"/>
    <w:rsid w:val="483061D0"/>
    <w:rsid w:val="48521BB4"/>
    <w:rsid w:val="488C6529"/>
    <w:rsid w:val="48B97ADD"/>
    <w:rsid w:val="48D0C4E0"/>
    <w:rsid w:val="48D4B2B8"/>
    <w:rsid w:val="48D97605"/>
    <w:rsid w:val="48DEFD27"/>
    <w:rsid w:val="491C3DC8"/>
    <w:rsid w:val="4928D91D"/>
    <w:rsid w:val="494E62B0"/>
    <w:rsid w:val="49729F4F"/>
    <w:rsid w:val="498C27ED"/>
    <w:rsid w:val="49A15832"/>
    <w:rsid w:val="49BB2451"/>
    <w:rsid w:val="49C25276"/>
    <w:rsid w:val="49F13388"/>
    <w:rsid w:val="49F4012A"/>
    <w:rsid w:val="4A02EE72"/>
    <w:rsid w:val="4A0D2A43"/>
    <w:rsid w:val="4A1E79EF"/>
    <w:rsid w:val="4A21595E"/>
    <w:rsid w:val="4A46213F"/>
    <w:rsid w:val="4A4D0761"/>
    <w:rsid w:val="4A554B3E"/>
    <w:rsid w:val="4A739DD0"/>
    <w:rsid w:val="4A983719"/>
    <w:rsid w:val="4AC3CC49"/>
    <w:rsid w:val="4ADD58EB"/>
    <w:rsid w:val="4AE42A0C"/>
    <w:rsid w:val="4AEB5712"/>
    <w:rsid w:val="4AFD2E96"/>
    <w:rsid w:val="4B1D5F7F"/>
    <w:rsid w:val="4B3F909D"/>
    <w:rsid w:val="4B5A1D1B"/>
    <w:rsid w:val="4B5ED364"/>
    <w:rsid w:val="4B66C45F"/>
    <w:rsid w:val="4B8D03E9"/>
    <w:rsid w:val="4B969A36"/>
    <w:rsid w:val="4BB39FFA"/>
    <w:rsid w:val="4BC4A3D3"/>
    <w:rsid w:val="4BCE9906"/>
    <w:rsid w:val="4BD3F2E2"/>
    <w:rsid w:val="4BDC1450"/>
    <w:rsid w:val="4BE0D228"/>
    <w:rsid w:val="4BE952DF"/>
    <w:rsid w:val="4BFF5406"/>
    <w:rsid w:val="4C2930BE"/>
    <w:rsid w:val="4C37FFDE"/>
    <w:rsid w:val="4C38F1F8"/>
    <w:rsid w:val="4C3916F6"/>
    <w:rsid w:val="4C41982C"/>
    <w:rsid w:val="4C4E2221"/>
    <w:rsid w:val="4C54B428"/>
    <w:rsid w:val="4C61AC6B"/>
    <w:rsid w:val="4C9A4FF7"/>
    <w:rsid w:val="4CAD8CB4"/>
    <w:rsid w:val="4CB20B34"/>
    <w:rsid w:val="4CBD5BBA"/>
    <w:rsid w:val="4CCFC621"/>
    <w:rsid w:val="4CDD2959"/>
    <w:rsid w:val="4D37147C"/>
    <w:rsid w:val="4D99A2FA"/>
    <w:rsid w:val="4DD1B7FA"/>
    <w:rsid w:val="4DDA135E"/>
    <w:rsid w:val="4DE17D1E"/>
    <w:rsid w:val="4DF06896"/>
    <w:rsid w:val="4DF8785E"/>
    <w:rsid w:val="4DFEE6F5"/>
    <w:rsid w:val="4E034FD0"/>
    <w:rsid w:val="4E5CE21C"/>
    <w:rsid w:val="4E75910A"/>
    <w:rsid w:val="4EA5C33C"/>
    <w:rsid w:val="4EA7132C"/>
    <w:rsid w:val="4EB09EDC"/>
    <w:rsid w:val="4EB3FF2D"/>
    <w:rsid w:val="4ECD274C"/>
    <w:rsid w:val="4ED2B854"/>
    <w:rsid w:val="4F077E2E"/>
    <w:rsid w:val="4F1C4FB1"/>
    <w:rsid w:val="4F2874C5"/>
    <w:rsid w:val="4F3130B3"/>
    <w:rsid w:val="4FABFCBC"/>
    <w:rsid w:val="4FEC9B81"/>
    <w:rsid w:val="4FF25F38"/>
    <w:rsid w:val="4FF975B1"/>
    <w:rsid w:val="5010740E"/>
    <w:rsid w:val="501C6FFE"/>
    <w:rsid w:val="502F10DC"/>
    <w:rsid w:val="5035B331"/>
    <w:rsid w:val="504F701E"/>
    <w:rsid w:val="504FDED6"/>
    <w:rsid w:val="5077E7E6"/>
    <w:rsid w:val="508764F4"/>
    <w:rsid w:val="50891C80"/>
    <w:rsid w:val="50B998C5"/>
    <w:rsid w:val="50C1FA9C"/>
    <w:rsid w:val="5111B420"/>
    <w:rsid w:val="513B29F8"/>
    <w:rsid w:val="5147CD1D"/>
    <w:rsid w:val="5199D819"/>
    <w:rsid w:val="51A78AD2"/>
    <w:rsid w:val="51BEE4ED"/>
    <w:rsid w:val="51C24B32"/>
    <w:rsid w:val="51C97330"/>
    <w:rsid w:val="51D890C0"/>
    <w:rsid w:val="51F8654B"/>
    <w:rsid w:val="5211898A"/>
    <w:rsid w:val="52402C08"/>
    <w:rsid w:val="5242A6C5"/>
    <w:rsid w:val="52650AEA"/>
    <w:rsid w:val="5283246B"/>
    <w:rsid w:val="52A8FDDF"/>
    <w:rsid w:val="52D0B8F5"/>
    <w:rsid w:val="52DF8AD1"/>
    <w:rsid w:val="52E0E97F"/>
    <w:rsid w:val="53395FA9"/>
    <w:rsid w:val="533D19B2"/>
    <w:rsid w:val="535C324C"/>
    <w:rsid w:val="538D77AE"/>
    <w:rsid w:val="53918CE2"/>
    <w:rsid w:val="53B5E569"/>
    <w:rsid w:val="53BC0759"/>
    <w:rsid w:val="53F14311"/>
    <w:rsid w:val="5427877F"/>
    <w:rsid w:val="542AA6E6"/>
    <w:rsid w:val="54526F8C"/>
    <w:rsid w:val="5456246B"/>
    <w:rsid w:val="54704993"/>
    <w:rsid w:val="54A8952D"/>
    <w:rsid w:val="54E77AD5"/>
    <w:rsid w:val="54EBE8A5"/>
    <w:rsid w:val="54ED3D76"/>
    <w:rsid w:val="551F48E4"/>
    <w:rsid w:val="552AAAFB"/>
    <w:rsid w:val="5533E62F"/>
    <w:rsid w:val="5541AB32"/>
    <w:rsid w:val="558139E1"/>
    <w:rsid w:val="55874D26"/>
    <w:rsid w:val="55908CF7"/>
    <w:rsid w:val="559D3E6D"/>
    <w:rsid w:val="55B519F5"/>
    <w:rsid w:val="55B5BA33"/>
    <w:rsid w:val="55F1A8B7"/>
    <w:rsid w:val="5613BEA7"/>
    <w:rsid w:val="56489103"/>
    <w:rsid w:val="565C1837"/>
    <w:rsid w:val="566CC237"/>
    <w:rsid w:val="568182F4"/>
    <w:rsid w:val="56AFA442"/>
    <w:rsid w:val="56BF0C2C"/>
    <w:rsid w:val="56FCD15A"/>
    <w:rsid w:val="56FF16B8"/>
    <w:rsid w:val="570BF13B"/>
    <w:rsid w:val="571C6ED2"/>
    <w:rsid w:val="572B286A"/>
    <w:rsid w:val="57343369"/>
    <w:rsid w:val="573EE6B3"/>
    <w:rsid w:val="57765BED"/>
    <w:rsid w:val="57818A08"/>
    <w:rsid w:val="5789DC17"/>
    <w:rsid w:val="578A16B5"/>
    <w:rsid w:val="57A80E21"/>
    <w:rsid w:val="57C2CA0F"/>
    <w:rsid w:val="57C4910D"/>
    <w:rsid w:val="57C7C3E9"/>
    <w:rsid w:val="58019536"/>
    <w:rsid w:val="581C2569"/>
    <w:rsid w:val="582794D4"/>
    <w:rsid w:val="582F8BCC"/>
    <w:rsid w:val="58416EB5"/>
    <w:rsid w:val="5866DBEE"/>
    <w:rsid w:val="586878CA"/>
    <w:rsid w:val="586CEE93"/>
    <w:rsid w:val="587C58CC"/>
    <w:rsid w:val="587CD642"/>
    <w:rsid w:val="58896C47"/>
    <w:rsid w:val="589B1F36"/>
    <w:rsid w:val="58A34281"/>
    <w:rsid w:val="58B89D46"/>
    <w:rsid w:val="58C1DD5F"/>
    <w:rsid w:val="58C1E7DE"/>
    <w:rsid w:val="58E51292"/>
    <w:rsid w:val="58FEAA92"/>
    <w:rsid w:val="590A7C7C"/>
    <w:rsid w:val="593996C2"/>
    <w:rsid w:val="593CD87B"/>
    <w:rsid w:val="593F4F2F"/>
    <w:rsid w:val="59409B95"/>
    <w:rsid w:val="5940F5AF"/>
    <w:rsid w:val="5949B3B7"/>
    <w:rsid w:val="596B7C71"/>
    <w:rsid w:val="5979AA06"/>
    <w:rsid w:val="5980FEE0"/>
    <w:rsid w:val="59A2312F"/>
    <w:rsid w:val="59A8DA3E"/>
    <w:rsid w:val="59AA01A9"/>
    <w:rsid w:val="59CDF7E9"/>
    <w:rsid w:val="59D8C1D9"/>
    <w:rsid w:val="59E4F464"/>
    <w:rsid w:val="5A0D8A95"/>
    <w:rsid w:val="5A4CE91B"/>
    <w:rsid w:val="5A5D9AE1"/>
    <w:rsid w:val="5A643258"/>
    <w:rsid w:val="5A85DDD9"/>
    <w:rsid w:val="5A8D514A"/>
    <w:rsid w:val="5AA6BCB6"/>
    <w:rsid w:val="5AE7A60D"/>
    <w:rsid w:val="5B022BA8"/>
    <w:rsid w:val="5B1BAA90"/>
    <w:rsid w:val="5B27E243"/>
    <w:rsid w:val="5B42C56D"/>
    <w:rsid w:val="5B4BB10E"/>
    <w:rsid w:val="5B50BB0E"/>
    <w:rsid w:val="5B9252B4"/>
    <w:rsid w:val="5BA6CB5E"/>
    <w:rsid w:val="5C0486E2"/>
    <w:rsid w:val="5C1E9585"/>
    <w:rsid w:val="5C275BC1"/>
    <w:rsid w:val="5C37D171"/>
    <w:rsid w:val="5C68708C"/>
    <w:rsid w:val="5C6C3E32"/>
    <w:rsid w:val="5CB91D84"/>
    <w:rsid w:val="5CF175B9"/>
    <w:rsid w:val="5CF4B156"/>
    <w:rsid w:val="5CF5E6E2"/>
    <w:rsid w:val="5D19EEF4"/>
    <w:rsid w:val="5D272E31"/>
    <w:rsid w:val="5D3EF814"/>
    <w:rsid w:val="5D467B4E"/>
    <w:rsid w:val="5D4D70BD"/>
    <w:rsid w:val="5D59A91A"/>
    <w:rsid w:val="5D5D9276"/>
    <w:rsid w:val="5D69A593"/>
    <w:rsid w:val="5D74F300"/>
    <w:rsid w:val="5D98B65E"/>
    <w:rsid w:val="5DA259D1"/>
    <w:rsid w:val="5DA6E033"/>
    <w:rsid w:val="5DA9C63C"/>
    <w:rsid w:val="5DAC75A4"/>
    <w:rsid w:val="5DB32F70"/>
    <w:rsid w:val="5DC25BB8"/>
    <w:rsid w:val="5DE97D42"/>
    <w:rsid w:val="5E104887"/>
    <w:rsid w:val="5E178542"/>
    <w:rsid w:val="5E2FF995"/>
    <w:rsid w:val="5E43483B"/>
    <w:rsid w:val="5E465F47"/>
    <w:rsid w:val="5E5C7098"/>
    <w:rsid w:val="5E6E85F5"/>
    <w:rsid w:val="5E738733"/>
    <w:rsid w:val="5E885BD0"/>
    <w:rsid w:val="5E8ECFB7"/>
    <w:rsid w:val="5E92C296"/>
    <w:rsid w:val="5EAD5A9A"/>
    <w:rsid w:val="5EB700C5"/>
    <w:rsid w:val="5ED0ED99"/>
    <w:rsid w:val="5EF10202"/>
    <w:rsid w:val="5F047E06"/>
    <w:rsid w:val="5F0A8F41"/>
    <w:rsid w:val="5F101932"/>
    <w:rsid w:val="5F124C45"/>
    <w:rsid w:val="5F425156"/>
    <w:rsid w:val="5F73670E"/>
    <w:rsid w:val="5F9DF718"/>
    <w:rsid w:val="5FABF687"/>
    <w:rsid w:val="5FB33410"/>
    <w:rsid w:val="5FDBC9B7"/>
    <w:rsid w:val="5FE6EE82"/>
    <w:rsid w:val="5FF183D8"/>
    <w:rsid w:val="6008B037"/>
    <w:rsid w:val="603396BE"/>
    <w:rsid w:val="60600B5C"/>
    <w:rsid w:val="607A67F3"/>
    <w:rsid w:val="607A9222"/>
    <w:rsid w:val="607D275D"/>
    <w:rsid w:val="6082AF90"/>
    <w:rsid w:val="608C17BD"/>
    <w:rsid w:val="60979534"/>
    <w:rsid w:val="60A0F709"/>
    <w:rsid w:val="60A8DDB3"/>
    <w:rsid w:val="61063836"/>
    <w:rsid w:val="610A0199"/>
    <w:rsid w:val="610A01D1"/>
    <w:rsid w:val="6123FAB8"/>
    <w:rsid w:val="612822AD"/>
    <w:rsid w:val="6146A886"/>
    <w:rsid w:val="615AC9B9"/>
    <w:rsid w:val="616307F2"/>
    <w:rsid w:val="6174801C"/>
    <w:rsid w:val="6181B041"/>
    <w:rsid w:val="6189F4FC"/>
    <w:rsid w:val="618E9E5A"/>
    <w:rsid w:val="61917766"/>
    <w:rsid w:val="619865E5"/>
    <w:rsid w:val="61AF6704"/>
    <w:rsid w:val="61D7BE49"/>
    <w:rsid w:val="61E19E88"/>
    <w:rsid w:val="61E545B1"/>
    <w:rsid w:val="61F085BC"/>
    <w:rsid w:val="621B9ADD"/>
    <w:rsid w:val="6238357C"/>
    <w:rsid w:val="62578AE9"/>
    <w:rsid w:val="6278378F"/>
    <w:rsid w:val="62809F4D"/>
    <w:rsid w:val="628101F1"/>
    <w:rsid w:val="62816727"/>
    <w:rsid w:val="62823A55"/>
    <w:rsid w:val="62D0C0BF"/>
    <w:rsid w:val="62F69A1A"/>
    <w:rsid w:val="6301AECE"/>
    <w:rsid w:val="6306A884"/>
    <w:rsid w:val="63072003"/>
    <w:rsid w:val="6319DA40"/>
    <w:rsid w:val="631B95F9"/>
    <w:rsid w:val="632974CA"/>
    <w:rsid w:val="632A6EBB"/>
    <w:rsid w:val="63386E40"/>
    <w:rsid w:val="6338D4C1"/>
    <w:rsid w:val="633C0D5C"/>
    <w:rsid w:val="635204EC"/>
    <w:rsid w:val="6355D221"/>
    <w:rsid w:val="635A4F24"/>
    <w:rsid w:val="63775BD3"/>
    <w:rsid w:val="637A37B6"/>
    <w:rsid w:val="637EC819"/>
    <w:rsid w:val="63A51452"/>
    <w:rsid w:val="63B7CE35"/>
    <w:rsid w:val="63C863DB"/>
    <w:rsid w:val="63E36363"/>
    <w:rsid w:val="63E3CA77"/>
    <w:rsid w:val="63EBD968"/>
    <w:rsid w:val="63FD1BCB"/>
    <w:rsid w:val="64086B75"/>
    <w:rsid w:val="6408F294"/>
    <w:rsid w:val="6419C5D4"/>
    <w:rsid w:val="6421043D"/>
    <w:rsid w:val="6432DD42"/>
    <w:rsid w:val="64386F77"/>
    <w:rsid w:val="643ACC1C"/>
    <w:rsid w:val="64681CF3"/>
    <w:rsid w:val="6482ED75"/>
    <w:rsid w:val="649A9041"/>
    <w:rsid w:val="64CA8A44"/>
    <w:rsid w:val="64DC1F3A"/>
    <w:rsid w:val="64E16F11"/>
    <w:rsid w:val="6502E3DE"/>
    <w:rsid w:val="65063A1D"/>
    <w:rsid w:val="652CFE61"/>
    <w:rsid w:val="653A1342"/>
    <w:rsid w:val="660C1D2A"/>
    <w:rsid w:val="66145C01"/>
    <w:rsid w:val="66272478"/>
    <w:rsid w:val="66392B3E"/>
    <w:rsid w:val="6643F332"/>
    <w:rsid w:val="6646BE84"/>
    <w:rsid w:val="664AE538"/>
    <w:rsid w:val="664E5A20"/>
    <w:rsid w:val="664F0749"/>
    <w:rsid w:val="665A2B16"/>
    <w:rsid w:val="665E519B"/>
    <w:rsid w:val="6670E0A2"/>
    <w:rsid w:val="6676751B"/>
    <w:rsid w:val="668E085F"/>
    <w:rsid w:val="6690F3A3"/>
    <w:rsid w:val="669B92CC"/>
    <w:rsid w:val="66B0BE9B"/>
    <w:rsid w:val="66B5BCDE"/>
    <w:rsid w:val="66BD0532"/>
    <w:rsid w:val="66C87ED3"/>
    <w:rsid w:val="66CE3016"/>
    <w:rsid w:val="66F78A17"/>
    <w:rsid w:val="66F951D2"/>
    <w:rsid w:val="6700B212"/>
    <w:rsid w:val="67011827"/>
    <w:rsid w:val="67083306"/>
    <w:rsid w:val="67258C38"/>
    <w:rsid w:val="672EB6F9"/>
    <w:rsid w:val="67441D92"/>
    <w:rsid w:val="674DEEDF"/>
    <w:rsid w:val="6762A23B"/>
    <w:rsid w:val="678E97F7"/>
    <w:rsid w:val="67A5AC52"/>
    <w:rsid w:val="67BC5965"/>
    <w:rsid w:val="67C074F0"/>
    <w:rsid w:val="67C8D10D"/>
    <w:rsid w:val="67CCE6F6"/>
    <w:rsid w:val="67EA2A81"/>
    <w:rsid w:val="681DF70E"/>
    <w:rsid w:val="6829A8F2"/>
    <w:rsid w:val="689DAFF5"/>
    <w:rsid w:val="68D08CEE"/>
    <w:rsid w:val="690450EC"/>
    <w:rsid w:val="690C1148"/>
    <w:rsid w:val="6932CF35"/>
    <w:rsid w:val="694BF943"/>
    <w:rsid w:val="694FEBC9"/>
    <w:rsid w:val="69507B93"/>
    <w:rsid w:val="697D8446"/>
    <w:rsid w:val="69B2DD28"/>
    <w:rsid w:val="69B330D4"/>
    <w:rsid w:val="69C81B14"/>
    <w:rsid w:val="69CDEED0"/>
    <w:rsid w:val="6A09B7F4"/>
    <w:rsid w:val="6A0BF3DB"/>
    <w:rsid w:val="6A127BD7"/>
    <w:rsid w:val="6AA6BA3C"/>
    <w:rsid w:val="6AAAAEAF"/>
    <w:rsid w:val="6ACD22C9"/>
    <w:rsid w:val="6AD6EB06"/>
    <w:rsid w:val="6ADD7088"/>
    <w:rsid w:val="6B0EB695"/>
    <w:rsid w:val="6B29D18A"/>
    <w:rsid w:val="6B5DE90F"/>
    <w:rsid w:val="6B870666"/>
    <w:rsid w:val="6BAB3E44"/>
    <w:rsid w:val="6BB3BF3B"/>
    <w:rsid w:val="6BBFC452"/>
    <w:rsid w:val="6BC1ED7B"/>
    <w:rsid w:val="6C012E0A"/>
    <w:rsid w:val="6C060635"/>
    <w:rsid w:val="6C1027C5"/>
    <w:rsid w:val="6C250583"/>
    <w:rsid w:val="6C5875BE"/>
    <w:rsid w:val="6C599213"/>
    <w:rsid w:val="6C731549"/>
    <w:rsid w:val="6C9D489F"/>
    <w:rsid w:val="6CB58F5D"/>
    <w:rsid w:val="6CBD9BA4"/>
    <w:rsid w:val="6CD86F99"/>
    <w:rsid w:val="6CF9B2F2"/>
    <w:rsid w:val="6CF9DC62"/>
    <w:rsid w:val="6D00754A"/>
    <w:rsid w:val="6D00B6FB"/>
    <w:rsid w:val="6D138667"/>
    <w:rsid w:val="6D2D8796"/>
    <w:rsid w:val="6D3B176B"/>
    <w:rsid w:val="6D576F4B"/>
    <w:rsid w:val="6D61B6D0"/>
    <w:rsid w:val="6D68AA64"/>
    <w:rsid w:val="6D882E3A"/>
    <w:rsid w:val="6DA33559"/>
    <w:rsid w:val="6DA52E56"/>
    <w:rsid w:val="6DAC8ADD"/>
    <w:rsid w:val="6DB15E97"/>
    <w:rsid w:val="6DBC624F"/>
    <w:rsid w:val="6DC8F7F8"/>
    <w:rsid w:val="6DEC9E15"/>
    <w:rsid w:val="6DF96F0E"/>
    <w:rsid w:val="6DFB1ABE"/>
    <w:rsid w:val="6DFED544"/>
    <w:rsid w:val="6E11742F"/>
    <w:rsid w:val="6E29FD6D"/>
    <w:rsid w:val="6E2C3019"/>
    <w:rsid w:val="6E3B8E88"/>
    <w:rsid w:val="6E5629CE"/>
    <w:rsid w:val="6E596C05"/>
    <w:rsid w:val="6E661A70"/>
    <w:rsid w:val="6E74EBA6"/>
    <w:rsid w:val="6E919883"/>
    <w:rsid w:val="6EC2DA15"/>
    <w:rsid w:val="6ED2EE77"/>
    <w:rsid w:val="6EDA8306"/>
    <w:rsid w:val="6EE98717"/>
    <w:rsid w:val="6EF8C69D"/>
    <w:rsid w:val="6F0B91AE"/>
    <w:rsid w:val="6F1914C2"/>
    <w:rsid w:val="6F2CD755"/>
    <w:rsid w:val="6F5934AF"/>
    <w:rsid w:val="6F6AC4BA"/>
    <w:rsid w:val="6F7DE79A"/>
    <w:rsid w:val="6F91D9B8"/>
    <w:rsid w:val="6F949BBE"/>
    <w:rsid w:val="6FBC71A3"/>
    <w:rsid w:val="6FC4C362"/>
    <w:rsid w:val="6FCB86D5"/>
    <w:rsid w:val="6FCD26C6"/>
    <w:rsid w:val="6FE269D4"/>
    <w:rsid w:val="6FFDB39D"/>
    <w:rsid w:val="700628CC"/>
    <w:rsid w:val="7010E688"/>
    <w:rsid w:val="7016762E"/>
    <w:rsid w:val="70233315"/>
    <w:rsid w:val="705A515B"/>
    <w:rsid w:val="709A5BBC"/>
    <w:rsid w:val="70B738FB"/>
    <w:rsid w:val="70D9A3FD"/>
    <w:rsid w:val="70F4189F"/>
    <w:rsid w:val="70F965EF"/>
    <w:rsid w:val="70FA4F1D"/>
    <w:rsid w:val="711D757A"/>
    <w:rsid w:val="713AC30F"/>
    <w:rsid w:val="713BD139"/>
    <w:rsid w:val="71449743"/>
    <w:rsid w:val="71477524"/>
    <w:rsid w:val="71671509"/>
    <w:rsid w:val="716FB854"/>
    <w:rsid w:val="717C4FF1"/>
    <w:rsid w:val="718D9592"/>
    <w:rsid w:val="71910CC7"/>
    <w:rsid w:val="71924C55"/>
    <w:rsid w:val="719FC8B0"/>
    <w:rsid w:val="71A7387A"/>
    <w:rsid w:val="71ACA572"/>
    <w:rsid w:val="71B8AAC2"/>
    <w:rsid w:val="71C93945"/>
    <w:rsid w:val="71D214C1"/>
    <w:rsid w:val="71D61CA8"/>
    <w:rsid w:val="71DE10A6"/>
    <w:rsid w:val="71F60E8E"/>
    <w:rsid w:val="7200E8C1"/>
    <w:rsid w:val="7232817E"/>
    <w:rsid w:val="72403507"/>
    <w:rsid w:val="724D840A"/>
    <w:rsid w:val="725D2AFF"/>
    <w:rsid w:val="7277E45E"/>
    <w:rsid w:val="7299EEBF"/>
    <w:rsid w:val="72D86B4F"/>
    <w:rsid w:val="7304E67E"/>
    <w:rsid w:val="7306A389"/>
    <w:rsid w:val="730FFFA8"/>
    <w:rsid w:val="7318FD75"/>
    <w:rsid w:val="732A42DA"/>
    <w:rsid w:val="734B115D"/>
    <w:rsid w:val="737F0D4B"/>
    <w:rsid w:val="7380F0F9"/>
    <w:rsid w:val="7390AABA"/>
    <w:rsid w:val="73DB7BBD"/>
    <w:rsid w:val="73F433DE"/>
    <w:rsid w:val="7424A9FC"/>
    <w:rsid w:val="746D2C75"/>
    <w:rsid w:val="747013C8"/>
    <w:rsid w:val="74B07BCB"/>
    <w:rsid w:val="74C27B4B"/>
    <w:rsid w:val="74C2F571"/>
    <w:rsid w:val="74C5DD04"/>
    <w:rsid w:val="7511FB85"/>
    <w:rsid w:val="753376AE"/>
    <w:rsid w:val="754C0874"/>
    <w:rsid w:val="75531C54"/>
    <w:rsid w:val="755781B8"/>
    <w:rsid w:val="756704E0"/>
    <w:rsid w:val="75941415"/>
    <w:rsid w:val="75F7CDFC"/>
    <w:rsid w:val="7607E8B4"/>
    <w:rsid w:val="76254F77"/>
    <w:rsid w:val="763E1C00"/>
    <w:rsid w:val="764F64D5"/>
    <w:rsid w:val="76709DE6"/>
    <w:rsid w:val="76ACDECE"/>
    <w:rsid w:val="76CA66C8"/>
    <w:rsid w:val="76CD7D58"/>
    <w:rsid w:val="76DBCD6B"/>
    <w:rsid w:val="76E7B27B"/>
    <w:rsid w:val="7713A74C"/>
    <w:rsid w:val="7716D152"/>
    <w:rsid w:val="773F5566"/>
    <w:rsid w:val="7760EFB4"/>
    <w:rsid w:val="776C4829"/>
    <w:rsid w:val="777361CD"/>
    <w:rsid w:val="77787C0C"/>
    <w:rsid w:val="77997E26"/>
    <w:rsid w:val="77A20A22"/>
    <w:rsid w:val="77AEB935"/>
    <w:rsid w:val="77B0A59C"/>
    <w:rsid w:val="77C3096F"/>
    <w:rsid w:val="77D359A7"/>
    <w:rsid w:val="78107834"/>
    <w:rsid w:val="781DF277"/>
    <w:rsid w:val="78202902"/>
    <w:rsid w:val="782D29F7"/>
    <w:rsid w:val="782DFFEB"/>
    <w:rsid w:val="7835A7EC"/>
    <w:rsid w:val="7839F835"/>
    <w:rsid w:val="783C24CC"/>
    <w:rsid w:val="7884B5A1"/>
    <w:rsid w:val="78979932"/>
    <w:rsid w:val="78A575E4"/>
    <w:rsid w:val="78A6C4D4"/>
    <w:rsid w:val="78B9E683"/>
    <w:rsid w:val="78D07EAF"/>
    <w:rsid w:val="78D93EED"/>
    <w:rsid w:val="78EEE932"/>
    <w:rsid w:val="78F46D85"/>
    <w:rsid w:val="79392437"/>
    <w:rsid w:val="7948F3F9"/>
    <w:rsid w:val="795216C7"/>
    <w:rsid w:val="7969F6DA"/>
    <w:rsid w:val="796AB24C"/>
    <w:rsid w:val="79886A4A"/>
    <w:rsid w:val="798B4288"/>
    <w:rsid w:val="799C1EAC"/>
    <w:rsid w:val="79B0E8CC"/>
    <w:rsid w:val="79BA9EAD"/>
    <w:rsid w:val="79C47BD2"/>
    <w:rsid w:val="79ED18A3"/>
    <w:rsid w:val="7A3375EA"/>
    <w:rsid w:val="7A3E8E41"/>
    <w:rsid w:val="7A88D3FD"/>
    <w:rsid w:val="7A9BC199"/>
    <w:rsid w:val="7AB5C9C3"/>
    <w:rsid w:val="7AB60ED0"/>
    <w:rsid w:val="7AB9CD3E"/>
    <w:rsid w:val="7ACB831A"/>
    <w:rsid w:val="7AEFEA28"/>
    <w:rsid w:val="7AF573F7"/>
    <w:rsid w:val="7AFCA1F4"/>
    <w:rsid w:val="7B0694F2"/>
    <w:rsid w:val="7B0881C1"/>
    <w:rsid w:val="7B27FCF5"/>
    <w:rsid w:val="7B3209FA"/>
    <w:rsid w:val="7B44B6F8"/>
    <w:rsid w:val="7B4C3F94"/>
    <w:rsid w:val="7B4D26C9"/>
    <w:rsid w:val="7B50F2EA"/>
    <w:rsid w:val="7B65A0AD"/>
    <w:rsid w:val="7B75173C"/>
    <w:rsid w:val="7B8203E4"/>
    <w:rsid w:val="7B831EB9"/>
    <w:rsid w:val="7B9E3E49"/>
    <w:rsid w:val="7BCC0C14"/>
    <w:rsid w:val="7BD638B0"/>
    <w:rsid w:val="7BE0CF9A"/>
    <w:rsid w:val="7BEA0B4B"/>
    <w:rsid w:val="7C3074F7"/>
    <w:rsid w:val="7C3A5662"/>
    <w:rsid w:val="7C424993"/>
    <w:rsid w:val="7C4A1C86"/>
    <w:rsid w:val="7C4FC87A"/>
    <w:rsid w:val="7C6E0C53"/>
    <w:rsid w:val="7C7092D8"/>
    <w:rsid w:val="7C91E515"/>
    <w:rsid w:val="7C94050C"/>
    <w:rsid w:val="7C9C8D87"/>
    <w:rsid w:val="7CA4768E"/>
    <w:rsid w:val="7CA8868B"/>
    <w:rsid w:val="7CB0E5C3"/>
    <w:rsid w:val="7CC7BCDD"/>
    <w:rsid w:val="7CE2B1CA"/>
    <w:rsid w:val="7CE49301"/>
    <w:rsid w:val="7CFF56A0"/>
    <w:rsid w:val="7D02F815"/>
    <w:rsid w:val="7D124B72"/>
    <w:rsid w:val="7D3A2120"/>
    <w:rsid w:val="7D3A5E3A"/>
    <w:rsid w:val="7D488C41"/>
    <w:rsid w:val="7D4D5EAC"/>
    <w:rsid w:val="7D4D685D"/>
    <w:rsid w:val="7D72EAF8"/>
    <w:rsid w:val="7DB27E51"/>
    <w:rsid w:val="7DBF8FF1"/>
    <w:rsid w:val="7DD8B547"/>
    <w:rsid w:val="7DDA31CB"/>
    <w:rsid w:val="7DF0EE7D"/>
    <w:rsid w:val="7DF3DCD7"/>
    <w:rsid w:val="7E2DDB9E"/>
    <w:rsid w:val="7E365F9A"/>
    <w:rsid w:val="7E43F1DF"/>
    <w:rsid w:val="7E5AF28A"/>
    <w:rsid w:val="7E72E08F"/>
    <w:rsid w:val="7E7AEC8B"/>
    <w:rsid w:val="7E7C19BF"/>
    <w:rsid w:val="7E7C3C3F"/>
    <w:rsid w:val="7E8C3F00"/>
    <w:rsid w:val="7E9AB712"/>
    <w:rsid w:val="7EAC7F05"/>
    <w:rsid w:val="7EE2FC7F"/>
    <w:rsid w:val="7F3950D7"/>
    <w:rsid w:val="7F40B8E9"/>
    <w:rsid w:val="7F413BE6"/>
    <w:rsid w:val="7F51E0BC"/>
    <w:rsid w:val="7F529E3C"/>
    <w:rsid w:val="7F70B8E8"/>
    <w:rsid w:val="7F70EF30"/>
    <w:rsid w:val="7F76ECE6"/>
    <w:rsid w:val="7F7CFE34"/>
    <w:rsid w:val="7FC96472"/>
    <w:rsid w:val="7FE6674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BB868"/>
  <w15:docId w15:val="{FED27CA7-4074-4E8A-AF44-60FDECC5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404032"/>
    <w:pPr>
      <w:spacing w:before="240"/>
      <w:outlineLvl w:val="0"/>
    </w:pPr>
    <w:rPr>
      <w:b/>
    </w:rPr>
  </w:style>
  <w:style w:type="paragraph" w:styleId="Heading2">
    <w:name w:val="heading 2"/>
    <w:aliases w:val="Sub-heading"/>
    <w:basedOn w:val="Normal"/>
    <w:next w:val="Normal"/>
    <w:qFormat/>
    <w:rsid w:val="00404032"/>
    <w:pPr>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3"/>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Pr>
    <w:tcPr>
      <w:tcBorders>
        <w:top w:val="double" w:color="C0504D" w:sz="6" w:space="0"/>
        <w:left w:val="single" w:color="C0504D" w:sz="8" w:space="0"/>
        <w:bottom w:val="single" w:color="C0504D" w:sz="8" w:space="0"/>
        <w:right w:val="single" w:color="C0504D" w:sz="8" w:space="0"/>
      </w:tcBorders>
    </w:tc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StylePr>
    <w:tblStylePr w:type="firstCol">
      <w:rPr>
        <w:b/>
        <w:bCs/>
      </w:rPr>
    </w:tblStylePr>
    <w:tblStylePr w:type="lastCol">
      <w:rPr>
        <w:b/>
        <w:bCs/>
      </w:r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
      </w:numPr>
    </w:pPr>
  </w:style>
  <w:style w:type="paragraph" w:styleId="Bulletpoints" w:customStyle="1">
    <w:name w:val="Bullet points"/>
    <w:basedOn w:val="Normal"/>
    <w:link w:val="BulletpointsChar"/>
    <w:qFormat/>
    <w:rsid w:val="005570B5"/>
    <w:pPr>
      <w:numPr>
        <w:numId w:val="2"/>
      </w:numPr>
      <w:tabs>
        <w:tab w:val="left" w:pos="993"/>
      </w:tabs>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4"/>
      </w:numPr>
      <w:ind w:left="993" w:hanging="426"/>
    </w:pPr>
  </w:style>
  <w:style w:type="character" w:styleId="Heading1Char" w:customStyle="1">
    <w:name w:val="Heading 1 Char"/>
    <w:aliases w:val="aHeading Char"/>
    <w:link w:val="Heading1"/>
    <w:rsid w:val="0050321C"/>
    <w:rPr>
      <w:rFonts w:ascii="Arial" w:hAnsi="Arial"/>
      <w:b/>
      <w:bCs/>
      <w:color w:val="000000"/>
      <w:sz w:val="24"/>
      <w:szCs w:val="24"/>
      <w:lang w:eastAsia="en-US"/>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paragraph" w:styleId="Default" w:customStyle="1">
    <w:name w:val="Default"/>
    <w:rsid w:val="001C391C"/>
    <w:pPr>
      <w:autoSpaceDE w:val="0"/>
      <w:autoSpaceDN w:val="0"/>
      <w:adjustRightInd w:val="0"/>
    </w:pPr>
    <w:rPr>
      <w:rFonts w:cs="Arial"/>
      <w:color w:val="000000"/>
      <w:sz w:val="24"/>
      <w:szCs w:val="24"/>
    </w:rPr>
  </w:style>
  <w:style w:type="character" w:styleId="normaltextrun" w:customStyle="1">
    <w:name w:val="normaltextrun"/>
    <w:basedOn w:val="DefaultParagraphFont"/>
    <w:rsid w:val="001E0FBA"/>
  </w:style>
  <w:style w:type="paragraph" w:styleId="paragraph" w:customStyle="1">
    <w:name w:val="paragraph"/>
    <w:basedOn w:val="Normal"/>
    <w:rsid w:val="00432099"/>
    <w:pPr>
      <w:spacing w:before="100" w:beforeAutospacing="1" w:after="100" w:afterAutospacing="1"/>
    </w:pPr>
    <w:rPr>
      <w:rFonts w:ascii="Times New Roman" w:hAnsi="Times New Roman"/>
      <w:color w:val="auto"/>
    </w:rPr>
  </w:style>
  <w:style w:type="character" w:styleId="eop" w:customStyle="1">
    <w:name w:val="eop"/>
    <w:basedOn w:val="DefaultParagraphFont"/>
    <w:rsid w:val="00432099"/>
  </w:style>
  <w:style w:type="character" w:styleId="BalloonTextChar" w:customStyle="1">
    <w:name w:val="Balloon Text Char"/>
    <w:basedOn w:val="DefaultParagraphFont"/>
    <w:link w:val="BalloonText"/>
    <w:uiPriority w:val="99"/>
    <w:semiHidden/>
    <w:rsid w:val="00A173DA"/>
    <w:rPr>
      <w:rFonts w:ascii="Tahoma" w:hAnsi="Tahoma" w:cs="Tahoma"/>
      <w:color w:val="000000"/>
      <w:sz w:val="16"/>
      <w:szCs w:val="16"/>
    </w:rPr>
  </w:style>
  <w:style w:type="character" w:styleId="Mention">
    <w:name w:val="Mention"/>
    <w:basedOn w:val="DefaultParagraphFont"/>
    <w:uiPriority w:val="99"/>
    <w:unhideWhenUsed/>
    <w:rsid w:val="001B44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182210730">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63673577">
      <w:bodyDiv w:val="1"/>
      <w:marLeft w:val="0"/>
      <w:marRight w:val="0"/>
      <w:marTop w:val="0"/>
      <w:marBottom w:val="0"/>
      <w:divBdr>
        <w:top w:val="none" w:sz="0" w:space="0" w:color="auto"/>
        <w:left w:val="none" w:sz="0" w:space="0" w:color="auto"/>
        <w:bottom w:val="none" w:sz="0" w:space="0" w:color="auto"/>
        <w:right w:val="none" w:sz="0" w:space="0" w:color="auto"/>
      </w:divBdr>
    </w:div>
    <w:div w:id="365257108">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13013665">
      <w:bodyDiv w:val="1"/>
      <w:marLeft w:val="0"/>
      <w:marRight w:val="0"/>
      <w:marTop w:val="0"/>
      <w:marBottom w:val="0"/>
      <w:divBdr>
        <w:top w:val="none" w:sz="0" w:space="0" w:color="auto"/>
        <w:left w:val="none" w:sz="0" w:space="0" w:color="auto"/>
        <w:bottom w:val="none" w:sz="0" w:space="0" w:color="auto"/>
        <w:right w:val="none" w:sz="0" w:space="0" w:color="auto"/>
      </w:divBdr>
    </w:div>
    <w:div w:id="442385168">
      <w:bodyDiv w:val="1"/>
      <w:marLeft w:val="0"/>
      <w:marRight w:val="0"/>
      <w:marTop w:val="0"/>
      <w:marBottom w:val="0"/>
      <w:divBdr>
        <w:top w:val="none" w:sz="0" w:space="0" w:color="auto"/>
        <w:left w:val="none" w:sz="0" w:space="0" w:color="auto"/>
        <w:bottom w:val="none" w:sz="0" w:space="0" w:color="auto"/>
        <w:right w:val="none" w:sz="0" w:space="0" w:color="auto"/>
      </w:divBdr>
    </w:div>
    <w:div w:id="450443758">
      <w:bodyDiv w:val="1"/>
      <w:marLeft w:val="0"/>
      <w:marRight w:val="0"/>
      <w:marTop w:val="0"/>
      <w:marBottom w:val="0"/>
      <w:divBdr>
        <w:top w:val="none" w:sz="0" w:space="0" w:color="auto"/>
        <w:left w:val="none" w:sz="0" w:space="0" w:color="auto"/>
        <w:bottom w:val="none" w:sz="0" w:space="0" w:color="auto"/>
        <w:right w:val="none" w:sz="0" w:space="0" w:color="auto"/>
      </w:divBdr>
    </w:div>
    <w:div w:id="561798489">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69638820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790394485">
      <w:bodyDiv w:val="1"/>
      <w:marLeft w:val="0"/>
      <w:marRight w:val="0"/>
      <w:marTop w:val="0"/>
      <w:marBottom w:val="0"/>
      <w:divBdr>
        <w:top w:val="none" w:sz="0" w:space="0" w:color="auto"/>
        <w:left w:val="none" w:sz="0" w:space="0" w:color="auto"/>
        <w:bottom w:val="none" w:sz="0" w:space="0" w:color="auto"/>
        <w:right w:val="none" w:sz="0" w:space="0" w:color="auto"/>
      </w:divBdr>
    </w:div>
    <w:div w:id="799569508">
      <w:bodyDiv w:val="1"/>
      <w:marLeft w:val="0"/>
      <w:marRight w:val="0"/>
      <w:marTop w:val="0"/>
      <w:marBottom w:val="0"/>
      <w:divBdr>
        <w:top w:val="none" w:sz="0" w:space="0" w:color="auto"/>
        <w:left w:val="none" w:sz="0" w:space="0" w:color="auto"/>
        <w:bottom w:val="none" w:sz="0" w:space="0" w:color="auto"/>
        <w:right w:val="none" w:sz="0" w:space="0" w:color="auto"/>
      </w:divBdr>
    </w:div>
    <w:div w:id="853111704">
      <w:bodyDiv w:val="1"/>
      <w:marLeft w:val="0"/>
      <w:marRight w:val="0"/>
      <w:marTop w:val="0"/>
      <w:marBottom w:val="0"/>
      <w:divBdr>
        <w:top w:val="none" w:sz="0" w:space="0" w:color="auto"/>
        <w:left w:val="none" w:sz="0" w:space="0" w:color="auto"/>
        <w:bottom w:val="none" w:sz="0" w:space="0" w:color="auto"/>
        <w:right w:val="none" w:sz="0" w:space="0" w:color="auto"/>
      </w:divBdr>
    </w:div>
    <w:div w:id="866799690">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24846979">
      <w:bodyDiv w:val="1"/>
      <w:marLeft w:val="0"/>
      <w:marRight w:val="0"/>
      <w:marTop w:val="0"/>
      <w:marBottom w:val="0"/>
      <w:divBdr>
        <w:top w:val="none" w:sz="0" w:space="0" w:color="auto"/>
        <w:left w:val="none" w:sz="0" w:space="0" w:color="auto"/>
        <w:bottom w:val="none" w:sz="0" w:space="0" w:color="auto"/>
        <w:right w:val="none" w:sz="0" w:space="0" w:color="auto"/>
      </w:divBdr>
    </w:div>
    <w:div w:id="994456819">
      <w:bodyDiv w:val="1"/>
      <w:marLeft w:val="0"/>
      <w:marRight w:val="0"/>
      <w:marTop w:val="0"/>
      <w:marBottom w:val="0"/>
      <w:divBdr>
        <w:top w:val="none" w:sz="0" w:space="0" w:color="auto"/>
        <w:left w:val="none" w:sz="0" w:space="0" w:color="auto"/>
        <w:bottom w:val="none" w:sz="0" w:space="0" w:color="auto"/>
        <w:right w:val="none" w:sz="0" w:space="0" w:color="auto"/>
      </w:divBdr>
    </w:div>
    <w:div w:id="1179346784">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28051888">
      <w:bodyDiv w:val="1"/>
      <w:marLeft w:val="0"/>
      <w:marRight w:val="0"/>
      <w:marTop w:val="0"/>
      <w:marBottom w:val="0"/>
      <w:divBdr>
        <w:top w:val="none" w:sz="0" w:space="0" w:color="auto"/>
        <w:left w:val="none" w:sz="0" w:space="0" w:color="auto"/>
        <w:bottom w:val="none" w:sz="0" w:space="0" w:color="auto"/>
        <w:right w:val="none" w:sz="0" w:space="0" w:color="auto"/>
      </w:divBdr>
      <w:divsChild>
        <w:div w:id="573784361">
          <w:marLeft w:val="0"/>
          <w:marRight w:val="0"/>
          <w:marTop w:val="0"/>
          <w:marBottom w:val="0"/>
          <w:divBdr>
            <w:top w:val="none" w:sz="0" w:space="0" w:color="auto"/>
            <w:left w:val="none" w:sz="0" w:space="0" w:color="auto"/>
            <w:bottom w:val="none" w:sz="0" w:space="0" w:color="auto"/>
            <w:right w:val="none" w:sz="0" w:space="0" w:color="auto"/>
          </w:divBdr>
        </w:div>
        <w:div w:id="985282539">
          <w:marLeft w:val="0"/>
          <w:marRight w:val="0"/>
          <w:marTop w:val="0"/>
          <w:marBottom w:val="0"/>
          <w:divBdr>
            <w:top w:val="none" w:sz="0" w:space="0" w:color="auto"/>
            <w:left w:val="none" w:sz="0" w:space="0" w:color="auto"/>
            <w:bottom w:val="none" w:sz="0" w:space="0" w:color="auto"/>
            <w:right w:val="none" w:sz="0" w:space="0" w:color="auto"/>
          </w:divBdr>
        </w:div>
        <w:div w:id="1418941897">
          <w:marLeft w:val="0"/>
          <w:marRight w:val="0"/>
          <w:marTop w:val="0"/>
          <w:marBottom w:val="0"/>
          <w:divBdr>
            <w:top w:val="none" w:sz="0" w:space="0" w:color="auto"/>
            <w:left w:val="none" w:sz="0" w:space="0" w:color="auto"/>
            <w:bottom w:val="none" w:sz="0" w:space="0" w:color="auto"/>
            <w:right w:val="none" w:sz="0" w:space="0" w:color="auto"/>
          </w:divBdr>
        </w:div>
      </w:divsChild>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371569778">
      <w:bodyDiv w:val="1"/>
      <w:marLeft w:val="0"/>
      <w:marRight w:val="0"/>
      <w:marTop w:val="0"/>
      <w:marBottom w:val="0"/>
      <w:divBdr>
        <w:top w:val="none" w:sz="0" w:space="0" w:color="auto"/>
        <w:left w:val="none" w:sz="0" w:space="0" w:color="auto"/>
        <w:bottom w:val="none" w:sz="0" w:space="0" w:color="auto"/>
        <w:right w:val="none" w:sz="0" w:space="0" w:color="auto"/>
      </w:divBdr>
    </w:div>
    <w:div w:id="1375959645">
      <w:bodyDiv w:val="1"/>
      <w:marLeft w:val="0"/>
      <w:marRight w:val="0"/>
      <w:marTop w:val="0"/>
      <w:marBottom w:val="0"/>
      <w:divBdr>
        <w:top w:val="none" w:sz="0" w:space="0" w:color="auto"/>
        <w:left w:val="none" w:sz="0" w:space="0" w:color="auto"/>
        <w:bottom w:val="none" w:sz="0" w:space="0" w:color="auto"/>
        <w:right w:val="none" w:sz="0" w:space="0" w:color="auto"/>
      </w:divBdr>
    </w:div>
    <w:div w:id="1411855910">
      <w:bodyDiv w:val="1"/>
      <w:marLeft w:val="0"/>
      <w:marRight w:val="0"/>
      <w:marTop w:val="0"/>
      <w:marBottom w:val="0"/>
      <w:divBdr>
        <w:top w:val="none" w:sz="0" w:space="0" w:color="auto"/>
        <w:left w:val="none" w:sz="0" w:space="0" w:color="auto"/>
        <w:bottom w:val="none" w:sz="0" w:space="0" w:color="auto"/>
        <w:right w:val="none" w:sz="0" w:space="0" w:color="auto"/>
      </w:divBdr>
    </w:div>
    <w:div w:id="1415083612">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535926174">
      <w:bodyDiv w:val="1"/>
      <w:marLeft w:val="0"/>
      <w:marRight w:val="0"/>
      <w:marTop w:val="0"/>
      <w:marBottom w:val="0"/>
      <w:divBdr>
        <w:top w:val="none" w:sz="0" w:space="0" w:color="auto"/>
        <w:left w:val="none" w:sz="0" w:space="0" w:color="auto"/>
        <w:bottom w:val="none" w:sz="0" w:space="0" w:color="auto"/>
        <w:right w:val="none" w:sz="0" w:space="0" w:color="auto"/>
      </w:divBdr>
    </w:div>
    <w:div w:id="1591618516">
      <w:bodyDiv w:val="1"/>
      <w:marLeft w:val="0"/>
      <w:marRight w:val="0"/>
      <w:marTop w:val="0"/>
      <w:marBottom w:val="0"/>
      <w:divBdr>
        <w:top w:val="none" w:sz="0" w:space="0" w:color="auto"/>
        <w:left w:val="none" w:sz="0" w:space="0" w:color="auto"/>
        <w:bottom w:val="none" w:sz="0" w:space="0" w:color="auto"/>
        <w:right w:val="none" w:sz="0" w:space="0" w:color="auto"/>
      </w:divBdr>
    </w:div>
    <w:div w:id="1756316533">
      <w:bodyDiv w:val="1"/>
      <w:marLeft w:val="0"/>
      <w:marRight w:val="0"/>
      <w:marTop w:val="0"/>
      <w:marBottom w:val="0"/>
      <w:divBdr>
        <w:top w:val="none" w:sz="0" w:space="0" w:color="auto"/>
        <w:left w:val="none" w:sz="0" w:space="0" w:color="auto"/>
        <w:bottom w:val="none" w:sz="0" w:space="0" w:color="auto"/>
        <w:right w:val="none" w:sz="0" w:space="0" w:color="auto"/>
      </w:divBdr>
    </w:div>
    <w:div w:id="1999963011">
      <w:bodyDiv w:val="1"/>
      <w:marLeft w:val="0"/>
      <w:marRight w:val="0"/>
      <w:marTop w:val="0"/>
      <w:marBottom w:val="0"/>
      <w:divBdr>
        <w:top w:val="none" w:sz="0" w:space="0" w:color="auto"/>
        <w:left w:val="none" w:sz="0" w:space="0" w:color="auto"/>
        <w:bottom w:val="none" w:sz="0" w:space="0" w:color="auto"/>
        <w:right w:val="none" w:sz="0" w:space="0" w:color="auto"/>
      </w:divBdr>
    </w:div>
    <w:div w:id="2091346518">
      <w:bodyDiv w:val="1"/>
      <w:marLeft w:val="0"/>
      <w:marRight w:val="0"/>
      <w:marTop w:val="0"/>
      <w:marBottom w:val="0"/>
      <w:divBdr>
        <w:top w:val="none" w:sz="0" w:space="0" w:color="auto"/>
        <w:left w:val="none" w:sz="0" w:space="0" w:color="auto"/>
        <w:bottom w:val="none" w:sz="0" w:space="0" w:color="auto"/>
        <w:right w:val="none" w:sz="0" w:space="0" w:color="auto"/>
      </w:divBdr>
    </w:div>
    <w:div w:id="2095203759">
      <w:bodyDiv w:val="1"/>
      <w:marLeft w:val="0"/>
      <w:marRight w:val="0"/>
      <w:marTop w:val="0"/>
      <w:marBottom w:val="0"/>
      <w:divBdr>
        <w:top w:val="none" w:sz="0" w:space="0" w:color="auto"/>
        <w:left w:val="none" w:sz="0" w:space="0" w:color="auto"/>
        <w:bottom w:val="none" w:sz="0" w:space="0" w:color="auto"/>
        <w:right w:val="none" w:sz="0" w:space="0" w:color="auto"/>
      </w:divBdr>
    </w:div>
    <w:div w:id="2121685388">
      <w:bodyDiv w:val="1"/>
      <w:marLeft w:val="0"/>
      <w:marRight w:val="0"/>
      <w:marTop w:val="0"/>
      <w:marBottom w:val="0"/>
      <w:divBdr>
        <w:top w:val="none" w:sz="0" w:space="0" w:color="auto"/>
        <w:left w:val="none" w:sz="0" w:space="0" w:color="auto"/>
        <w:bottom w:val="none" w:sz="0" w:space="0" w:color="auto"/>
        <w:right w:val="none" w:sz="0" w:space="0" w:color="auto"/>
      </w:divBdr>
    </w:div>
    <w:div w:id="2131580858">
      <w:bodyDiv w:val="1"/>
      <w:marLeft w:val="0"/>
      <w:marRight w:val="0"/>
      <w:marTop w:val="0"/>
      <w:marBottom w:val="0"/>
      <w:divBdr>
        <w:top w:val="none" w:sz="0" w:space="0" w:color="auto"/>
        <w:left w:val="none" w:sz="0" w:space="0" w:color="auto"/>
        <w:bottom w:val="none" w:sz="0" w:space="0" w:color="auto"/>
        <w:right w:val="none" w:sz="0" w:space="0" w:color="auto"/>
      </w:divBdr>
    </w:div>
    <w:div w:id="213505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emf"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c0890496c46167c86a643b70879a49fc">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f707e2255aaf8df206e3137265692de0"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786fa0e-627d-4c8f-81d4-9acfec184fed" xsi:nil="true"/>
    <lcf76f155ced4ddcb4097134ff3c332f xmlns="767482ae-7241-49c3-8a4f-7ce08acf9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7D537-2EBC-4282-B6D4-6F4F3349FD70}"/>
</file>

<file path=customXml/itemProps2.xml><?xml version="1.0" encoding="utf-8"?>
<ds:datastoreItem xmlns:ds="http://schemas.openxmlformats.org/officeDocument/2006/customXml" ds:itemID="{0DFA53A5-9E4D-4057-9E25-549D45B71FC3}">
  <ds:schemaRefs>
    <ds:schemaRef ds:uri="http://schemas.microsoft.com/sharepoint/v3/contenttype/forms"/>
  </ds:schemaRefs>
</ds:datastoreItem>
</file>

<file path=customXml/itemProps3.xml><?xml version="1.0" encoding="utf-8"?>
<ds:datastoreItem xmlns:ds="http://schemas.openxmlformats.org/officeDocument/2006/customXml" ds:itemID="{1E500C77-092D-4319-908C-376EFB245B55}">
  <ds:schemaRefs>
    <ds:schemaRef ds:uri="http://schemas.openxmlformats.org/officeDocument/2006/bibliography"/>
  </ds:schemaRefs>
</ds:datastoreItem>
</file>

<file path=customXml/itemProps4.xml><?xml version="1.0" encoding="utf-8"?>
<ds:datastoreItem xmlns:ds="http://schemas.openxmlformats.org/officeDocument/2006/customXml" ds:itemID="{FE297E67-4AE3-480D-8D3A-EA0DB53139BF}">
  <ds:schemaRefs>
    <ds:schemaRef ds:uri="http://schemas.openxmlformats.org/package/2006/metadata/core-properties"/>
    <ds:schemaRef ds:uri="f0c51083-7223-4919-89ba-1e9ea700f53e"/>
    <ds:schemaRef ds:uri="http://purl.org/dc/terms/"/>
    <ds:schemaRef ds:uri="http://schemas.microsoft.com/office/2006/metadata/properties"/>
    <ds:schemaRef ds:uri="http://schemas.microsoft.com/office/infopath/2007/PartnerControls"/>
    <ds:schemaRef ds:uri="366fe251-9aff-4671-b9ed-44127f22832c"/>
    <ds:schemaRef ds:uri="http://www.w3.org/XML/1998/namespace"/>
    <ds:schemaRef ds:uri="http://schemas.microsoft.com/office/2006/documentManagement/types"/>
    <ds:schemaRef ds:uri="http://purl.org/dc/dcmityp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awinship</dc:creator>
  <keywords/>
  <lastModifiedBy>MCCOLLUM Brenda</lastModifiedBy>
  <revision>123</revision>
  <lastPrinted>2017-08-07T16:36:00.0000000Z</lastPrinted>
  <dcterms:created xsi:type="dcterms:W3CDTF">2025-11-06T09:35:00.0000000Z</dcterms:created>
  <dcterms:modified xsi:type="dcterms:W3CDTF">2025-11-21T11:02:53.7483679Z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y fmtid="{D5CDD505-2E9C-101B-9397-08002B2CF9AE}" pid="4" name="docLang">
    <vt:lpwstr>en</vt:lpwstr>
  </property>
</Properties>
</file>